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CFF43" w14:textId="77777777" w:rsidR="00173C53" w:rsidRDefault="00173C53" w:rsidP="00173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528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8310"/>
      </w:tblGrid>
      <w:tr w:rsidR="00173C53" w:rsidRPr="00236CC3" w14:paraId="57333915" w14:textId="77777777" w:rsidTr="00173C53">
        <w:trPr>
          <w:trHeight w:val="575"/>
        </w:trPr>
        <w:tc>
          <w:tcPr>
            <w:tcW w:w="2268" w:type="pct"/>
          </w:tcPr>
          <w:p w14:paraId="0F013D38" w14:textId="77777777" w:rsidR="00173C53" w:rsidRPr="00236CC3" w:rsidRDefault="00173C53" w:rsidP="005606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68649861"/>
            <w:r w:rsidRPr="00236CC3">
              <w:rPr>
                <w:rFonts w:ascii="Times New Roman" w:hAnsi="Times New Roman" w:cs="Times New Roman"/>
                <w:b/>
              </w:rPr>
              <w:t>TRƯỜNG ĐẠI HỌC MỞ THÀNH PHỐ HỒ CHÍ MINH</w:t>
            </w:r>
          </w:p>
          <w:p w14:paraId="3D965606" w14:textId="77777777" w:rsidR="00173C53" w:rsidRPr="00236CC3" w:rsidRDefault="00173C53" w:rsidP="00560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CC3">
              <w:rPr>
                <w:rFonts w:ascii="Times New Roman" w:hAnsi="Times New Roman" w:cs="Times New Roman"/>
                <w:b/>
              </w:rPr>
              <w:t>KHOA KẾ TOÁN – KIỂM TOÁN</w:t>
            </w:r>
          </w:p>
        </w:tc>
        <w:tc>
          <w:tcPr>
            <w:tcW w:w="2732" w:type="pct"/>
          </w:tcPr>
          <w:p w14:paraId="4B6F055C" w14:textId="77777777" w:rsidR="00173C53" w:rsidRPr="00236CC3" w:rsidRDefault="00173C53" w:rsidP="0056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6CC3">
              <w:rPr>
                <w:rFonts w:ascii="Times New Roman" w:hAnsi="Times New Roman" w:cs="Times New Roman"/>
                <w:b/>
                <w:color w:val="000000" w:themeColor="text1"/>
              </w:rPr>
              <w:t>CỘNG HÒA XÃ HỘI CHỦ NGHĨA VIỆT NAM</w:t>
            </w:r>
          </w:p>
          <w:p w14:paraId="7D2D8AD0" w14:textId="77777777" w:rsidR="00173C53" w:rsidRPr="00236CC3" w:rsidRDefault="00173C53" w:rsidP="0056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6"/>
              </w:rPr>
            </w:pPr>
            <w:proofErr w:type="spellStart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6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</w:tc>
      </w:tr>
      <w:bookmarkEnd w:id="0"/>
      <w:tr w:rsidR="00173C53" w:rsidRPr="00236CC3" w14:paraId="477AD25B" w14:textId="77777777" w:rsidTr="00173C53">
        <w:tc>
          <w:tcPr>
            <w:tcW w:w="2268" w:type="pct"/>
          </w:tcPr>
          <w:p w14:paraId="6321CDA4" w14:textId="77777777" w:rsidR="00173C53" w:rsidRPr="00236CC3" w:rsidRDefault="00173C53" w:rsidP="00560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pct"/>
          </w:tcPr>
          <w:p w14:paraId="22DB05D0" w14:textId="77777777" w:rsidR="00173C53" w:rsidRPr="00236CC3" w:rsidRDefault="00173C53" w:rsidP="00560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6"/>
              </w:rPr>
            </w:pPr>
          </w:p>
        </w:tc>
      </w:tr>
    </w:tbl>
    <w:p w14:paraId="4245E8D0" w14:textId="3F5ACE0C" w:rsidR="00173C53" w:rsidRPr="00173C53" w:rsidRDefault="00173C53" w:rsidP="0017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DANH SÁCH BẢO VỆ KHÓA LUẬN TỐT NGHIỆP</w:t>
      </w:r>
    </w:p>
    <w:p w14:paraId="13C340DA" w14:textId="542D47FF" w:rsidR="00173C53" w:rsidRDefault="00173C53" w:rsidP="00173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NGÀNH KIỂM TOÁN – KHÓA 2020</w:t>
      </w:r>
    </w:p>
    <w:p w14:paraId="796CDED9" w14:textId="77777777" w:rsidR="00173C53" w:rsidRPr="00173C53" w:rsidRDefault="00173C53" w:rsidP="00173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Thời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gian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mặt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tại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phòng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hội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đồng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60AE2A49" w14:textId="77777777" w:rsidR="00173C53" w:rsidRPr="00173C53" w:rsidRDefault="00173C53" w:rsidP="00173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Sáng: 07h30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ngày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12/6/2024</w:t>
      </w:r>
    </w:p>
    <w:p w14:paraId="30138F4A" w14:textId="4E53B8E7" w:rsidR="00173C53" w:rsidRPr="00173C53" w:rsidRDefault="00173C53" w:rsidP="00173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Chiều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12h30 </w:t>
      </w:r>
      <w:proofErr w:type="spellStart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ngày</w:t>
      </w:r>
      <w:proofErr w:type="spellEnd"/>
      <w:r w:rsidRPr="00173C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12/6/2024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2D9F492" w14:textId="682FF027" w:rsidR="00173C53" w:rsidRPr="00173C53" w:rsidRDefault="00173C53" w:rsidP="00173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14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682"/>
        <w:gridCol w:w="1602"/>
        <w:gridCol w:w="1839"/>
        <w:gridCol w:w="3821"/>
        <w:gridCol w:w="3298"/>
        <w:gridCol w:w="1382"/>
      </w:tblGrid>
      <w:tr w:rsidR="00173C53" w:rsidRPr="00173C53" w14:paraId="5F214C40" w14:textId="77777777" w:rsidTr="00173C53">
        <w:trPr>
          <w:trHeight w:val="6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86F10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9937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80E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89C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Giảng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hướng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0319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Việt)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F7B19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Anh)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23D96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</w:p>
        </w:tc>
      </w:tr>
      <w:tr w:rsidR="00173C53" w:rsidRPr="00173C53" w14:paraId="0BB7594F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2C43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C73A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Thịnh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E173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1C967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 Thảo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838F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PricewaterhouseCoopers Việt Nam - PWC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B061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Exploring the Analytical Procedures for Financial Statement Analysis in Auditing at PricewaterhouseCoopers (Vietnam) Ltd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3FBF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Sáng 12/6/2024</w:t>
            </w: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</w:t>
            </w:r>
          </w:p>
        </w:tc>
      </w:tr>
      <w:tr w:rsidR="00173C53" w:rsidRPr="00173C53" w14:paraId="622FB2C9" w14:textId="77777777" w:rsidTr="00173C53">
        <w:trPr>
          <w:trHeight w:val="13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D3CA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A6AE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Thắng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D20D4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20AA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 Thảo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BD59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Crowe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2E3E3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process of setting materiality levels and assessing audit risks during the audit planning phase at Crowe Vietnam Audit Co., Ltd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4C29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7E4F0154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A674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9D62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Nguyên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2B25C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53B5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 Thảo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509F6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Tài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1FF2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Evidence Collection Techniques in the Audit of Financial Statements at Global Auditing and Financial Consultancy Co., Ltd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13D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1582332A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015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D40F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Quốc Hải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E850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32CFE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Đạt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C8E4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UHY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4AAA4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the Cash and Accounts receivable audit procedure at UHY Auditing and Consulting Limited Company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149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624EF09A" w14:textId="77777777" w:rsidTr="00173C53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19D56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C63B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Kim Thoa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A50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2054102062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6824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Thu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226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Crowe Việt Nam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2795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Applying analytical procedures in the audit of financial reports at Crowe Vietnam Limited Liability Company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4842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Sáng 12/6/2024</w:t>
            </w: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</w:p>
        </w:tc>
      </w:tr>
      <w:tr w:rsidR="00173C53" w:rsidRPr="00173C53" w14:paraId="3FC837F5" w14:textId="77777777" w:rsidTr="00173C53">
        <w:trPr>
          <w:trHeight w:val="13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141FA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CDB3A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Ánh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1DE1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E2A77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Thu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D618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Crowe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Viêt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53FC6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process of setting materiality levels and assessing audit risk in the planning stage of auditing financial statements at Crowe Vietnam Auditing Co., Ltd.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55E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780E7670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77F8D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5445A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 Hoa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FB8C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154E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Thu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3D4F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Báo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Ernst &amp; Young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0CFCC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procedures in auditing financial statements at Ernst &amp; Young Vietnam Limited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A59E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0240CFF4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90EF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108B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Quốc Hào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77AB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A66D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Vinh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6C22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Doanh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DFK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F013C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process for Sales revenue and service provision and Customer receivables at DFK Viet Nam Co., Ltd.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2D12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1C437227" w14:textId="77777777" w:rsidTr="00173C53">
        <w:trPr>
          <w:trHeight w:val="6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670E7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F64E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Quỳnh Trang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6FB80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2054042311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1AA5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Đạt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E7CF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Ernst &amp; Young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DD73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 for collecting audit evidence at Ernst &amp; Young Vietnam Co., Ltd.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31F6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12/6/2024</w:t>
            </w: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</w:p>
        </w:tc>
      </w:tr>
      <w:tr w:rsidR="00173C53" w:rsidRPr="00173C53" w14:paraId="249EECE3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F617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3CBD6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Nguyễn Tuấn Tú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B7C4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9D10A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Đạt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549C5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Deloitte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DBF0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the Cash and Accounts receivable audit procedure at Deloitte Vietnam Audit Company Limited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6A11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76234DC1" w14:textId="77777777" w:rsidTr="00173C53">
        <w:trPr>
          <w:trHeight w:val="13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8AB7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8EE9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Thuỳ Trang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4101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5C4B1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 Vương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818E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Doanh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Báo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DFK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1AD2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Procedures for Sales Revenue and Accounts Receivable in Financial Statement Audits at DFK Vietnam Auditing Company Limited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DC69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0ACF3AFB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EC5C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5A03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Thị Ngọc Chi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2810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DB23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Vinh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81B8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ước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Crowe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52591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Audit process of </w:t>
            </w:r>
            <w:proofErr w:type="gram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  <w:proofErr w:type="gram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estimates in audit of financial statements at Crowe Viet Nam Co., Ltd.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0E95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53" w:rsidRPr="00173C53" w14:paraId="35F6DF70" w14:textId="77777777" w:rsidTr="00173C53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66249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5FB7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Đức </w:t>
            </w:r>
            <w:proofErr w:type="gram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B71D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2054102001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9FE2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Vinh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A4D3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Quy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tồn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hàng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Công ty TNHH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RSM Việt Nam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81914" w14:textId="77777777"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Audit of Inventories and Cost of </w:t>
            </w:r>
            <w:proofErr w:type="spellStart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1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Sold at RSM Vietnam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F9B8" w14:textId="77777777"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E68C20" w14:textId="77777777" w:rsidR="00173C53" w:rsidRPr="00173C53" w:rsidRDefault="00173C53" w:rsidP="00173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73C53" w:rsidRPr="00173C53" w:rsidSect="00173C53">
      <w:pgSz w:w="15840" w:h="12240" w:orient="landscape"/>
      <w:pgMar w:top="900" w:right="576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53"/>
    <w:rsid w:val="00173C53"/>
    <w:rsid w:val="00186344"/>
    <w:rsid w:val="00567013"/>
    <w:rsid w:val="00A53162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1613"/>
  <w15:chartTrackingRefBased/>
  <w15:docId w15:val="{AAB4259B-A9F9-4AE5-8066-16EB042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C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C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C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C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C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C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C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C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C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C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C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C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C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C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C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C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C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C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C5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73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AJVNCJQTK6FV-485-165</_dlc_DocId>
    <_dlc_DocIdUrl xmlns="899dc094-1e94-4f91-a470-511ad44b7ba1">
      <Url>http://webadmin.ou.edu.vn/ktkt/_layouts/DocIdRedir.aspx?ID=AJVNCJQTK6FV-485-165</Url>
      <Description>AJVNCJQTK6FV-485-165</Description>
    </_dlc_DocIdUrl>
  </documentManagement>
</p:properties>
</file>

<file path=customXml/itemProps1.xml><?xml version="1.0" encoding="utf-8"?>
<ds:datastoreItem xmlns:ds="http://schemas.openxmlformats.org/officeDocument/2006/customXml" ds:itemID="{F54C4166-33D3-4F89-800F-86A036CF73A9}"/>
</file>

<file path=customXml/itemProps2.xml><?xml version="1.0" encoding="utf-8"?>
<ds:datastoreItem xmlns:ds="http://schemas.openxmlformats.org/officeDocument/2006/customXml" ds:itemID="{42AD9317-1435-4653-8B3D-F8EE6608FE22}"/>
</file>

<file path=customXml/itemProps3.xml><?xml version="1.0" encoding="utf-8"?>
<ds:datastoreItem xmlns:ds="http://schemas.openxmlformats.org/officeDocument/2006/customXml" ds:itemID="{C01A4382-D546-4657-9008-C3A6C59F1C7C}"/>
</file>

<file path=customXml/itemProps4.xml><?xml version="1.0" encoding="utf-8"?>
<ds:datastoreItem xmlns:ds="http://schemas.openxmlformats.org/officeDocument/2006/customXml" ds:itemID="{BF0BD012-91C2-4086-BD1A-004B45D71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Hoang Phuc</dc:creator>
  <cp:keywords/>
  <dc:description/>
  <cp:lastModifiedBy>Phan Hoang Phuc</cp:lastModifiedBy>
  <cp:revision>1</cp:revision>
  <dcterms:created xsi:type="dcterms:W3CDTF">2024-06-10T05:03:00Z</dcterms:created>
  <dcterms:modified xsi:type="dcterms:W3CDTF">2024-06-10T05:07:00Z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5090e69c-0358-4904-b6ec-2170b2bdc53f</vt:lpwstr>
  </property>
</Properties>
</file>