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6"/>
        <w:gridCol w:w="236"/>
      </w:tblGrid>
      <w:tr w:rsidR="00763F9B" w:rsidRPr="00AC0F0C" w:rsidTr="0051782E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70" w:type="dxa"/>
              <w:jc w:val="center"/>
              <w:tblLook w:val="00A0" w:firstRow="1" w:lastRow="0" w:firstColumn="1" w:lastColumn="0" w:noHBand="0" w:noVBand="0"/>
            </w:tblPr>
            <w:tblGrid>
              <w:gridCol w:w="5400"/>
              <w:gridCol w:w="5670"/>
            </w:tblGrid>
            <w:tr w:rsidR="00763F9B" w:rsidRPr="00AC0F0C" w:rsidTr="0051782E">
              <w:trPr>
                <w:jc w:val="center"/>
              </w:trPr>
              <w:tc>
                <w:tcPr>
                  <w:tcW w:w="5400" w:type="dxa"/>
                </w:tcPr>
                <w:p w:rsidR="00763F9B" w:rsidRPr="00AC0F0C" w:rsidRDefault="00763F9B" w:rsidP="0051782E">
                  <w:pPr>
                    <w:spacing w:before="120"/>
                    <w:ind w:right="-108"/>
                    <w:jc w:val="center"/>
                    <w:rPr>
                      <w:rFonts w:ascii="Times New Roman" w:hAnsi="Times New Roman"/>
                      <w:b/>
                      <w:sz w:val="26"/>
                      <w:lang w:val="en-GB"/>
                    </w:rPr>
                  </w:pPr>
                  <w:bookmarkStart w:id="0" w:name="_Hlk497122013"/>
                  <w:r w:rsidRPr="00AC0F0C">
                    <w:rPr>
                      <w:rFonts w:ascii="Times New Roman" w:hAnsi="Times New Roman"/>
                      <w:b/>
                      <w:sz w:val="26"/>
                      <w:lang w:val="en-GB"/>
                    </w:rPr>
                    <w:t>The Ministry of Education and Training</w:t>
                  </w:r>
                </w:p>
                <w:p w:rsidR="00763F9B" w:rsidRPr="00AC0F0C" w:rsidRDefault="00AC0F0C" w:rsidP="0051782E">
                  <w:pPr>
                    <w:tabs>
                      <w:tab w:val="center" w:pos="2309"/>
                      <w:tab w:val="center" w:pos="8640"/>
                    </w:tabs>
                    <w:spacing w:before="120"/>
                    <w:jc w:val="center"/>
                    <w:rPr>
                      <w:rFonts w:ascii="Times New Roman" w:hAnsi="Times New Roman"/>
                      <w:b/>
                      <w:bCs/>
                      <w:lang w:val="en-GB"/>
                    </w:rPr>
                  </w:pPr>
                  <w:r w:rsidRPr="00AC0F0C">
                    <w:rPr>
                      <w:noProof/>
                    </w:rPr>
                    <w:pict>
                      <v:line id="Line 2" o:spid="_x0000_s1026" style="position:absolute;left:0;text-align:left;z-index:1;visibility:visible" from="54.25pt,31.5pt" to="19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hf&#10;b+bbAAAABgEAAA8AAAAAAAAAAAAAAAAAbAQAAGRycy9kb3ducmV2LnhtbFBLBQYAAAAABAAEAPMA&#10;AAB0BQAAAAA=&#10;"/>
                    </w:pict>
                  </w:r>
                  <w:r w:rsidR="00763F9B" w:rsidRPr="00AC0F0C">
                    <w:rPr>
                      <w:rFonts w:ascii="Times New Roman" w:hAnsi="Times New Roman"/>
                      <w:b/>
                      <w:bCs/>
                      <w:lang w:val="en-GB"/>
                    </w:rPr>
                    <w:t>HOCHIMINH CITY OPEN UNIVERSITY</w:t>
                  </w:r>
                </w:p>
              </w:tc>
              <w:tc>
                <w:tcPr>
                  <w:tcW w:w="5670" w:type="dxa"/>
                </w:tcPr>
                <w:p w:rsidR="00763F9B" w:rsidRPr="00AC0F0C" w:rsidRDefault="00763F9B" w:rsidP="0051782E">
                  <w:pPr>
                    <w:snapToGrid w:val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GB"/>
                    </w:rPr>
                  </w:pPr>
                  <w:r w:rsidRPr="00AC0F0C">
                    <w:rPr>
                      <w:rFonts w:ascii="Times New Roman" w:hAnsi="Times New Roman"/>
                      <w:b/>
                      <w:color w:val="000000"/>
                      <w:lang w:val="en-GB"/>
                    </w:rPr>
                    <w:t>SOCIALIST REPUBLIC OF VIETNAM</w:t>
                  </w:r>
                </w:p>
                <w:p w:rsidR="00763F9B" w:rsidRPr="00AC0F0C" w:rsidRDefault="00763F9B" w:rsidP="0051782E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0000"/>
                      <w:lang w:val="en-GB"/>
                    </w:rPr>
                  </w:pPr>
                  <w:r w:rsidRPr="00AC0F0C">
                    <w:rPr>
                      <w:rFonts w:ascii="Times New Roman" w:hAnsi="Times New Roman"/>
                      <w:b/>
                      <w:color w:val="000000"/>
                      <w:lang w:val="en-GB"/>
                    </w:rPr>
                    <w:t>Independence – Liberty – Happiness</w:t>
                  </w:r>
                </w:p>
                <w:p w:rsidR="00763F9B" w:rsidRPr="00AC0F0C" w:rsidRDefault="00763F9B" w:rsidP="0051782E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rFonts w:ascii="Times New Roman" w:hAnsi="Times New Roman"/>
                      <w:bCs/>
                      <w:lang w:val="en-GB"/>
                    </w:rPr>
                  </w:pPr>
                  <w:r w:rsidRPr="00AC0F0C">
                    <w:rPr>
                      <w:rFonts w:ascii="Times New Roman" w:hAnsi="Times New Roman"/>
                      <w:b/>
                      <w:bCs/>
                      <w:color w:val="000000"/>
                      <w:vertAlign w:val="superscript"/>
                      <w:lang w:val="en-GB"/>
                    </w:rPr>
                    <w:t>_____________________________________</w:t>
                  </w:r>
                </w:p>
              </w:tc>
            </w:tr>
          </w:tbl>
          <w:p w:rsidR="00763F9B" w:rsidRPr="00AC0F0C" w:rsidRDefault="00763F9B" w:rsidP="0051782E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3F9B" w:rsidRPr="00AC0F0C" w:rsidRDefault="00763F9B" w:rsidP="0051782E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</w:tr>
    </w:tbl>
    <w:p w:rsidR="00763F9B" w:rsidRPr="002818F4" w:rsidRDefault="00763F9B" w:rsidP="00763F9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818F4">
        <w:rPr>
          <w:rFonts w:ascii="Times New Roman" w:hAnsi="Times New Roman"/>
          <w:b/>
          <w:color w:val="000000"/>
          <w:sz w:val="28"/>
          <w:szCs w:val="28"/>
          <w:lang w:val="en-GB"/>
        </w:rPr>
        <w:t>BACHELOR PROGRAM</w:t>
      </w:r>
    </w:p>
    <w:p w:rsidR="00763F9B" w:rsidRPr="002818F4" w:rsidRDefault="00763F9B" w:rsidP="00763F9B">
      <w:pPr>
        <w:spacing w:before="120"/>
        <w:jc w:val="center"/>
        <w:outlineLvl w:val="0"/>
        <w:rPr>
          <w:rFonts w:ascii="Times New Roman" w:hAnsi="Times New Roman"/>
          <w:b/>
          <w:bCs/>
          <w:lang w:val="en-GB"/>
        </w:rPr>
      </w:pPr>
      <w:r w:rsidRPr="002818F4">
        <w:rPr>
          <w:rFonts w:ascii="Times New Roman" w:hAnsi="Times New Roman"/>
          <w:b/>
          <w:bCs/>
          <w:lang w:val="en-GB"/>
        </w:rPr>
        <w:t>SYLLABUS</w:t>
      </w:r>
      <w:bookmarkStart w:id="1" w:name="_GoBack"/>
      <w:bookmarkEnd w:id="1"/>
    </w:p>
    <w:bookmarkEnd w:id="0"/>
    <w:p w:rsidR="00490D1B" w:rsidRPr="008F6AF0" w:rsidRDefault="00F57138" w:rsidP="008F6AF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MODULE INFORMATION</w:t>
      </w:r>
      <w:r w:rsidR="00490D1B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1046F5" w:rsidRDefault="00490D1B" w:rsidP="00763F9B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046F5">
        <w:rPr>
          <w:rFonts w:ascii="Times New Roman" w:hAnsi="Times New Roman"/>
          <w:b/>
          <w:bCs/>
          <w:sz w:val="24"/>
          <w:szCs w:val="24"/>
          <w:lang w:val="en-GB"/>
        </w:rPr>
        <w:t xml:space="preserve">.   </w:t>
      </w:r>
      <w:r w:rsidR="00F57138" w:rsidRPr="001046F5">
        <w:rPr>
          <w:rFonts w:ascii="Times New Roman" w:hAnsi="Times New Roman"/>
          <w:sz w:val="24"/>
          <w:szCs w:val="24"/>
          <w:lang w:val="en-GB"/>
        </w:rPr>
        <w:t>Module name</w:t>
      </w:r>
      <w:r w:rsidRPr="001046F5">
        <w:rPr>
          <w:rFonts w:ascii="Times New Roman" w:hAnsi="Times New Roman"/>
          <w:sz w:val="24"/>
          <w:szCs w:val="24"/>
          <w:lang w:val="en-GB"/>
        </w:rPr>
        <w:t>:</w:t>
      </w:r>
      <w:r w:rsidR="00CC0896" w:rsidRPr="001046F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2D4329">
        <w:rPr>
          <w:rFonts w:ascii="Times New Roman" w:hAnsi="Times New Roman"/>
          <w:b/>
          <w:bCs/>
          <w:sz w:val="24"/>
          <w:szCs w:val="24"/>
          <w:lang w:val="en-GB"/>
        </w:rPr>
        <w:t>M</w:t>
      </w:r>
      <w:r w:rsidR="00CC0896" w:rsidRPr="001046F5">
        <w:rPr>
          <w:rFonts w:ascii="Times New Roman" w:hAnsi="Times New Roman"/>
          <w:b/>
          <w:bCs/>
          <w:sz w:val="24"/>
          <w:szCs w:val="24"/>
          <w:lang w:val="en-GB"/>
        </w:rPr>
        <w:t xml:space="preserve">anagement </w:t>
      </w:r>
      <w:r w:rsidR="002D4329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r w:rsidR="00CC0896" w:rsidRPr="001046F5">
        <w:rPr>
          <w:rFonts w:ascii="Times New Roman" w:hAnsi="Times New Roman"/>
          <w:b/>
          <w:bCs/>
          <w:sz w:val="24"/>
          <w:szCs w:val="24"/>
          <w:lang w:val="en-GB"/>
        </w:rPr>
        <w:t>ccounting</w:t>
      </w:r>
      <w:r w:rsidR="00FB2F87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1046F5" w:rsidRPr="001046F5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967598" w:rsidRPr="0096759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967598">
        <w:rPr>
          <w:rFonts w:ascii="Times New Roman" w:hAnsi="Times New Roman"/>
          <w:b/>
          <w:bCs/>
          <w:sz w:val="24"/>
          <w:szCs w:val="24"/>
          <w:lang w:val="en-GB"/>
        </w:rPr>
        <w:t>–ACCA F2</w:t>
      </w:r>
      <w:r w:rsidR="003B78FD">
        <w:rPr>
          <w:rFonts w:ascii="Times New Roman" w:hAnsi="Times New Roman"/>
          <w:b/>
          <w:bCs/>
          <w:sz w:val="24"/>
          <w:szCs w:val="24"/>
          <w:lang w:val="en-GB"/>
        </w:rPr>
        <w:t xml:space="preserve"> part </w:t>
      </w:r>
      <w:r w:rsidR="003B78FD" w:rsidRPr="001046F5">
        <w:rPr>
          <w:rFonts w:ascii="Times New Roman" w:hAnsi="Times New Roman"/>
          <w:b/>
          <w:bCs/>
          <w:sz w:val="24"/>
          <w:szCs w:val="24"/>
          <w:lang w:val="en-GB"/>
        </w:rPr>
        <w:t>1</w:t>
      </w:r>
    </w:p>
    <w:p w:rsidR="00490D1B" w:rsidRPr="008F6AF0" w:rsidRDefault="00490D1B" w:rsidP="008F6AF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.   </w:t>
      </w:r>
      <w:r w:rsidR="00F57138" w:rsidRPr="008F6AF0">
        <w:rPr>
          <w:rFonts w:ascii="Times New Roman" w:hAnsi="Times New Roman"/>
          <w:sz w:val="24"/>
          <w:szCs w:val="24"/>
          <w:lang w:val="en-GB"/>
        </w:rPr>
        <w:t>Module code</w:t>
      </w:r>
      <w:r w:rsidRPr="008F6AF0">
        <w:rPr>
          <w:rFonts w:ascii="Times New Roman" w:hAnsi="Times New Roman"/>
          <w:sz w:val="24"/>
          <w:szCs w:val="24"/>
          <w:lang w:val="en-GB"/>
        </w:rPr>
        <w:t>:</w:t>
      </w:r>
      <w:r w:rsidR="00761E74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ACC</w:t>
      </w:r>
      <w:r w:rsidR="00944297">
        <w:rPr>
          <w:rFonts w:ascii="Times New Roman" w:hAnsi="Times New Roman"/>
          <w:b/>
          <w:bCs/>
          <w:sz w:val="24"/>
          <w:szCs w:val="24"/>
          <w:lang w:val="en-GB"/>
        </w:rPr>
        <w:t>O2305</w:t>
      </w:r>
    </w:p>
    <w:p w:rsidR="00490D1B" w:rsidRPr="008F6AF0" w:rsidRDefault="00490D1B" w:rsidP="008F6AF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.   </w:t>
      </w:r>
      <w:r w:rsidR="00F57138" w:rsidRPr="008F6AF0">
        <w:rPr>
          <w:rFonts w:ascii="Times New Roman" w:hAnsi="Times New Roman"/>
          <w:sz w:val="24"/>
          <w:szCs w:val="24"/>
          <w:lang w:val="en-GB"/>
        </w:rPr>
        <w:t xml:space="preserve">Faculty: </w:t>
      </w:r>
      <w:r w:rsidR="00F57138" w:rsidRPr="008F6AF0">
        <w:rPr>
          <w:rFonts w:ascii="Times New Roman" w:hAnsi="Times New Roman"/>
          <w:b/>
          <w:sz w:val="24"/>
          <w:szCs w:val="24"/>
          <w:lang w:val="en-GB"/>
        </w:rPr>
        <w:t>Accounting - Auditing</w:t>
      </w:r>
    </w:p>
    <w:p w:rsidR="00490D1B" w:rsidRPr="008F6AF0" w:rsidRDefault="00490D1B" w:rsidP="008F6AF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.   </w:t>
      </w:r>
      <w:r w:rsidR="00F57138" w:rsidRPr="008F6AF0">
        <w:rPr>
          <w:rFonts w:ascii="Times New Roman" w:hAnsi="Times New Roman"/>
          <w:sz w:val="24"/>
          <w:szCs w:val="24"/>
          <w:lang w:val="en-GB"/>
        </w:rPr>
        <w:t>Number of credits</w:t>
      </w:r>
      <w:r w:rsidRPr="008F6AF0">
        <w:rPr>
          <w:rFonts w:ascii="Times New Roman" w:hAnsi="Times New Roman"/>
          <w:sz w:val="24"/>
          <w:szCs w:val="24"/>
          <w:lang w:val="en-GB"/>
        </w:rPr>
        <w:t>:</w:t>
      </w:r>
      <w:r w:rsidR="00F57138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03</w:t>
      </w: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8F6AF0" w:rsidRDefault="00F57138" w:rsidP="008F6AF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MODULE DESCRIPTION</w:t>
      </w:r>
    </w:p>
    <w:p w:rsidR="00490D1B" w:rsidRPr="008F6AF0" w:rsidRDefault="00F57138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Management accounting is a system of collecting, processing and communicating required information towards management’s needs to carry out their designated duties. The aim of this module is to develop a knowledge and understanding of the principles and techniques used in recording, analysing and reporting costs and revenues for internal management purposes. It covers management information, cost recording, costing techniques, budgeti</w:t>
      </w:r>
      <w:r w:rsidR="006249DA" w:rsidRPr="008F6AF0">
        <w:rPr>
          <w:rFonts w:ascii="Times New Roman" w:hAnsi="Times New Roman"/>
          <w:sz w:val="24"/>
          <w:szCs w:val="24"/>
          <w:lang w:val="en-GB"/>
        </w:rPr>
        <w:t>ng and performance measurement.</w:t>
      </w:r>
    </w:p>
    <w:p w:rsidR="00144201" w:rsidRPr="008F6AF0" w:rsidRDefault="00490D1B" w:rsidP="008F6AF0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360" w:right="-38" w:hanging="360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3.</w:t>
      </w:r>
      <w:r w:rsidRPr="008F6AF0">
        <w:rPr>
          <w:rFonts w:ascii="Times New Roman" w:hAnsi="Times New Roman"/>
          <w:sz w:val="24"/>
          <w:szCs w:val="24"/>
          <w:lang w:val="en-GB"/>
        </w:rPr>
        <w:tab/>
      </w: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M</w:t>
      </w:r>
      <w:r w:rsidR="00144201" w:rsidRPr="008F6AF0">
        <w:rPr>
          <w:rFonts w:ascii="Times New Roman" w:hAnsi="Times New Roman"/>
          <w:b/>
          <w:bCs/>
          <w:sz w:val="24"/>
          <w:szCs w:val="24"/>
          <w:lang w:val="en-GB"/>
        </w:rPr>
        <w:t>ODULE OBJECTIVES</w:t>
      </w: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8F6AF0" w:rsidRDefault="006E2BF2" w:rsidP="008F6AF0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after="0" w:line="360" w:lineRule="auto"/>
        <w:ind w:left="360" w:right="3931" w:hanging="360"/>
        <w:contextualSpacing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144201" w:rsidRPr="008F6AF0">
        <w:rPr>
          <w:rFonts w:ascii="Times New Roman" w:hAnsi="Times New Roman"/>
          <w:b/>
          <w:bCs/>
          <w:sz w:val="24"/>
          <w:szCs w:val="24"/>
          <w:lang w:val="en-GB"/>
        </w:rPr>
        <w:t>3.1. General objectives</w:t>
      </w:r>
    </w:p>
    <w:p w:rsidR="00490D1B" w:rsidRPr="008F6AF0" w:rsidRDefault="00144201" w:rsidP="008F6AF0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right="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generate</w:t>
      </w:r>
      <w:r w:rsidR="00501962" w:rsidRPr="008F6AF0">
        <w:rPr>
          <w:rFonts w:ascii="Times New Roman" w:hAnsi="Times New Roman"/>
          <w:sz w:val="24"/>
          <w:szCs w:val="24"/>
          <w:lang w:val="en-GB"/>
        </w:rPr>
        <w:t xml:space="preserve"> basic knowledge and skills of management accounting in a business. </w:t>
      </w:r>
    </w:p>
    <w:p w:rsidR="00501962" w:rsidRPr="008F6AF0" w:rsidRDefault="00501962" w:rsidP="008F6AF0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right="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be able to self-equip, self-research management accounting-related materials.</w:t>
      </w:r>
    </w:p>
    <w:p w:rsidR="00CC0896" w:rsidRPr="008F6AF0" w:rsidRDefault="00501962" w:rsidP="008F6AF0">
      <w:pPr>
        <w:widowControl w:val="0"/>
        <w:numPr>
          <w:ilvl w:val="1"/>
          <w:numId w:val="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right="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be able to participate ACCA F2 exam.</w:t>
      </w:r>
    </w:p>
    <w:p w:rsidR="00490D1B" w:rsidRPr="008F6AF0" w:rsidRDefault="006E2BF2" w:rsidP="008F6AF0">
      <w:pPr>
        <w:widowControl w:val="0"/>
        <w:numPr>
          <w:ilvl w:val="0"/>
          <w:numId w:val="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49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Specific objectives</w:t>
      </w:r>
    </w:p>
    <w:p w:rsidR="00490D1B" w:rsidRPr="008F6AF0" w:rsidRDefault="006E2BF2" w:rsidP="008F6AF0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3.2.1. Knowledge</w:t>
      </w:r>
    </w:p>
    <w:p w:rsidR="006E2BF2" w:rsidRPr="008F6AF0" w:rsidRDefault="00CC6508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explain the role of management accounting in a business.</w:t>
      </w:r>
    </w:p>
    <w:p w:rsidR="00CC6508" w:rsidRPr="008F6AF0" w:rsidRDefault="00CC6508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distinguish the difference between financial accounting, management accounting and cost accounting;</w:t>
      </w:r>
    </w:p>
    <w:p w:rsidR="00490D1B" w:rsidRPr="008F6AF0" w:rsidRDefault="00CC6508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classify related costs as well as to describe the approach for cost controlling;</w:t>
      </w:r>
    </w:p>
    <w:p w:rsidR="008F6AF0" w:rsidRDefault="00CC6508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60" w:line="36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explain the pricing methods of products or services;</w:t>
      </w:r>
    </w:p>
    <w:p w:rsidR="008F6AF0" w:rsidRPr="008F6AF0" w:rsidRDefault="00CC6508" w:rsidP="008F6AF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60" w:line="36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explain the basic level of budgeting process.</w:t>
      </w:r>
      <w:bookmarkStart w:id="2" w:name="page2"/>
      <w:bookmarkEnd w:id="2"/>
    </w:p>
    <w:p w:rsidR="00490D1B" w:rsidRPr="008F6AF0" w:rsidRDefault="00CC6508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3.2.2.</w:t>
      </w:r>
      <w:r w:rsidR="002061AF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2B1197" w:rsidRPr="008F6AF0">
        <w:rPr>
          <w:rFonts w:ascii="Times New Roman" w:hAnsi="Times New Roman"/>
          <w:b/>
          <w:bCs/>
          <w:sz w:val="24"/>
          <w:szCs w:val="24"/>
          <w:lang w:val="en-GB"/>
        </w:rPr>
        <w:t>Skills</w:t>
      </w:r>
    </w:p>
    <w:p w:rsidR="00CC0896" w:rsidRPr="008F6AF0" w:rsidRDefault="002B1197" w:rsidP="008F6AF0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60" w:line="36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comprehend management accounting-related material in English.</w:t>
      </w:r>
    </w:p>
    <w:p w:rsidR="00490D1B" w:rsidRPr="008F6AF0" w:rsidRDefault="002B1197" w:rsidP="008F6AF0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To attempt exam-typed questions for ACCA F2 paper.</w:t>
      </w:r>
    </w:p>
    <w:p w:rsidR="00197F0C" w:rsidRDefault="002B1197" w:rsidP="00197F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3.2.3. Attitude</w:t>
      </w:r>
      <w:r w:rsidR="00490D1B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197F0C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490D1B" w:rsidRPr="008F6AF0" w:rsidRDefault="002B1197" w:rsidP="00197F0C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Cs/>
          <w:sz w:val="24"/>
          <w:szCs w:val="24"/>
          <w:lang w:val="en-GB"/>
        </w:rPr>
        <w:lastRenderedPageBreak/>
        <w:t>To have cautious and careful manner toward the processing of accounting information.</w:t>
      </w:r>
    </w:p>
    <w:p w:rsidR="00532D9B" w:rsidRDefault="002B1197" w:rsidP="00197F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MODULE CONTENT</w:t>
      </w:r>
    </w:p>
    <w:p w:rsidR="00197F0C" w:rsidRPr="008F6AF0" w:rsidRDefault="00197F0C" w:rsidP="00197F0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/>
          <w:i/>
          <w:iCs/>
          <w:sz w:val="24"/>
          <w:szCs w:val="24"/>
          <w:u w:val="single"/>
          <w:lang w:val="en-GB"/>
        </w:rPr>
      </w:pPr>
    </w:p>
    <w:tbl>
      <w:tblPr>
        <w:tblW w:w="9554" w:type="dxa"/>
        <w:tblInd w:w="93" w:type="dxa"/>
        <w:tblLook w:val="04A0" w:firstRow="1" w:lastRow="0" w:firstColumn="1" w:lastColumn="0" w:noHBand="0" w:noVBand="1"/>
      </w:tblPr>
      <w:tblGrid>
        <w:gridCol w:w="1155"/>
        <w:gridCol w:w="1762"/>
        <w:gridCol w:w="3041"/>
        <w:gridCol w:w="572"/>
        <w:gridCol w:w="546"/>
        <w:gridCol w:w="574"/>
        <w:gridCol w:w="1904"/>
      </w:tblGrid>
      <w:tr w:rsidR="00B44B23" w:rsidRPr="00AC0F0C" w:rsidTr="00197F0C">
        <w:trPr>
          <w:trHeight w:val="313"/>
          <w:tblHeader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D9B" w:rsidRPr="00AC0F0C" w:rsidRDefault="002B1197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D9B" w:rsidRPr="00AC0F0C" w:rsidRDefault="002B1197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Chapter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D9B" w:rsidRPr="00AC0F0C" w:rsidRDefault="000913E2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2D9B" w:rsidRPr="00AC0F0C" w:rsidRDefault="006249DA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2D9B" w:rsidRPr="00AC0F0C" w:rsidRDefault="006249DA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Learning material</w:t>
            </w:r>
          </w:p>
        </w:tc>
      </w:tr>
      <w:tr w:rsidR="00A16605" w:rsidRPr="00AC0F0C" w:rsidTr="00197F0C">
        <w:trPr>
          <w:trHeight w:val="313"/>
          <w:tblHeader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TC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LT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BT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A16605" w:rsidRPr="00AC0F0C" w:rsidTr="00197F0C">
        <w:trPr>
          <w:trHeight w:val="219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Accounting for management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Information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Planning, control and decision making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Financial accounting and cost and management accounting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Cost accounting information and decision making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93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Source of data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Type of data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Sources of data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Sampling methods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281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Cost classification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Total product/service costs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Direct costs and indirect costs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Functional costs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Production and non-production costs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Cost units 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Responsibility centres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5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Cost behaviour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Variable costs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Fixed costs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Determining the fixed and variable elements of semi-variable cost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93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Presenting information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Presenting information: tables, charts and reports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93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Accounting for materials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Inventory control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Accounting for material 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costs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Inventory valuation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93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Accounting for labour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Labour cost control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Accounting for labour cost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125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Accounting for overheads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Overheads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Overhead allocation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Accounting for overheads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156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Absorption and marginal cost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Marginal cost and marginal costing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Reconciling profits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125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Job, batch and service costing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Costing methods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Job and batch costing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Service costing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125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11&amp;12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Process costing, joint products and by-product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The basics of process costing</w:t>
            </w:r>
          </w:p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Losses in process costing</w:t>
            </w:r>
          </w:p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Valuing closing work in progress</w:t>
            </w:r>
          </w:p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Joint products and by-products</w:t>
            </w:r>
          </w:p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Dealing with common costs</w:t>
            </w:r>
          </w:p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Accounting for by-product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156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Alternative costing principles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Calculating product costs using ABC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Total quality management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Life cycle costing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Target costing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1566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Forecasting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The high-low and least squares method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Time series analysis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Sales forecasting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4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Budgeting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The planning and control cycle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Fixed and flexible budgets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Use of spreadsheet software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BPP_F2 reading material</w:t>
            </w:r>
          </w:p>
        </w:tc>
      </w:tr>
      <w:tr w:rsidR="00A16605" w:rsidRPr="00AC0F0C" w:rsidTr="00197F0C">
        <w:trPr>
          <w:trHeight w:val="35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605" w:rsidRPr="00AC0F0C" w:rsidRDefault="00A16605" w:rsidP="008F6AF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605" w:rsidRPr="00AC0F0C" w:rsidRDefault="00A16605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605" w:rsidRPr="00AC0F0C" w:rsidRDefault="00A16605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490D1B" w:rsidRPr="008F6AF0" w:rsidRDefault="00A16605" w:rsidP="008F6AF0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  <w:lang w:val="en-GB"/>
        </w:rPr>
      </w:pPr>
      <w:r w:rsidRPr="008F6AF0">
        <w:rPr>
          <w:rFonts w:ascii="Times New Roman" w:hAnsi="Times New Roman"/>
          <w:i/>
          <w:iCs/>
          <w:sz w:val="24"/>
          <w:szCs w:val="24"/>
          <w:u w:val="single"/>
          <w:lang w:val="en-GB"/>
        </w:rPr>
        <w:t>Note</w:t>
      </w:r>
      <w:r w:rsidR="00490D1B" w:rsidRPr="008F6AF0">
        <w:rPr>
          <w:rFonts w:ascii="Times New Roman" w:hAnsi="Times New Roman"/>
          <w:i/>
          <w:iCs/>
          <w:sz w:val="24"/>
          <w:szCs w:val="24"/>
          <w:u w:val="single"/>
          <w:lang w:val="en-GB"/>
        </w:rPr>
        <w:t>:</w:t>
      </w:r>
      <w:r w:rsidR="00490D1B" w:rsidRPr="008F6AF0">
        <w:rPr>
          <w:rFonts w:ascii="Times New Roman" w:hAnsi="Times New Roman"/>
          <w:i/>
          <w:iCs/>
          <w:sz w:val="24"/>
          <w:szCs w:val="24"/>
          <w:lang w:val="en-GB"/>
        </w:rPr>
        <w:t xml:space="preserve"> TC: T</w:t>
      </w:r>
      <w:r w:rsidRPr="008F6AF0">
        <w:rPr>
          <w:rFonts w:ascii="Times New Roman" w:hAnsi="Times New Roman"/>
          <w:i/>
          <w:iCs/>
          <w:sz w:val="24"/>
          <w:szCs w:val="24"/>
          <w:lang w:val="en-GB"/>
        </w:rPr>
        <w:t>otal hours; LT: Theory; BT: Exercise</w:t>
      </w:r>
    </w:p>
    <w:p w:rsidR="00490D1B" w:rsidRPr="008F6AF0" w:rsidRDefault="00490D1B" w:rsidP="008F6AF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490D1B" w:rsidRPr="008F6AF0" w:rsidRDefault="00A16605" w:rsidP="008F6AF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LEARNING MATERIAL</w:t>
      </w:r>
      <w:r w:rsidR="00490D1B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490D1B" w:rsidRPr="008F6AF0" w:rsidRDefault="00A16605" w:rsidP="008F6AF0">
      <w:pPr>
        <w:widowControl w:val="0"/>
        <w:numPr>
          <w:ilvl w:val="1"/>
          <w:numId w:val="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 w:hanging="53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Main material</w:t>
      </w:r>
      <w:r w:rsidR="00490D1B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490D1B" w:rsidRPr="008F6AF0" w:rsidRDefault="00A16605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0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>BPP ACCA approved Interactive Text (For exams from 1 September 2016 to 31 August 2017)</w:t>
      </w:r>
      <w:r w:rsidR="00490D1B" w:rsidRPr="008F6AF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90D1B" w:rsidRPr="008F6AF0" w:rsidRDefault="00A16605" w:rsidP="008F6AF0">
      <w:pPr>
        <w:widowControl w:val="0"/>
        <w:numPr>
          <w:ilvl w:val="1"/>
          <w:numId w:val="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 w:hanging="53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Secondary material</w:t>
      </w:r>
      <w:r w:rsidR="00490D1B"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</w:p>
    <w:p w:rsidR="00490D1B" w:rsidRPr="008F6AF0" w:rsidRDefault="00490D1B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0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sz w:val="24"/>
          <w:szCs w:val="24"/>
          <w:lang w:val="en-GB"/>
        </w:rPr>
        <w:t xml:space="preserve">Whitecotton, Libby và Phillips (2011), Managerial Accounting, McGraw-Hill International Edition </w:t>
      </w:r>
      <w:r w:rsidR="00A16605" w:rsidRPr="008F6AF0">
        <w:rPr>
          <w:rFonts w:ascii="Times New Roman" w:hAnsi="Times New Roman"/>
          <w:sz w:val="24"/>
          <w:szCs w:val="24"/>
          <w:lang w:val="en-GB"/>
        </w:rPr>
        <w:tab/>
      </w:r>
    </w:p>
    <w:p w:rsidR="00490D1B" w:rsidRPr="008F6AF0" w:rsidRDefault="00490D1B" w:rsidP="008F6AF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B2F87" w:rsidRDefault="003C69DF" w:rsidP="008F6AF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>ASSESS</w:t>
      </w:r>
      <w:r w:rsidR="00A16605" w:rsidRPr="008F6AF0">
        <w:rPr>
          <w:rFonts w:ascii="Times New Roman" w:hAnsi="Times New Roman"/>
          <w:b/>
          <w:bCs/>
          <w:sz w:val="24"/>
          <w:szCs w:val="24"/>
          <w:lang w:val="en-GB"/>
        </w:rPr>
        <w:t>MENTS</w:t>
      </w:r>
    </w:p>
    <w:p w:rsidR="008031AB" w:rsidRPr="008031AB" w:rsidRDefault="008031AB" w:rsidP="008031AB">
      <w:pPr>
        <w:widowControl w:val="0"/>
        <w:numPr>
          <w:ilvl w:val="1"/>
          <w:numId w:val="1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99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8031AB">
        <w:rPr>
          <w:rFonts w:ascii="Times New Roman" w:hAnsi="Times New Roman"/>
          <w:bCs/>
          <w:sz w:val="24"/>
          <w:szCs w:val="24"/>
          <w:lang w:val="en-GB"/>
        </w:rPr>
        <w:t>Score grading scale: The course grading scale is 10-point system, with ten being the highest and zero being the lowest.</w:t>
      </w:r>
    </w:p>
    <w:p w:rsidR="008031AB" w:rsidRPr="008031AB" w:rsidRDefault="008031AB" w:rsidP="008031AB">
      <w:pPr>
        <w:widowControl w:val="0"/>
        <w:numPr>
          <w:ilvl w:val="1"/>
          <w:numId w:val="1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99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8031AB">
        <w:rPr>
          <w:rFonts w:ascii="Times New Roman" w:hAnsi="Times New Roman"/>
          <w:bCs/>
          <w:sz w:val="24"/>
          <w:szCs w:val="24"/>
          <w:lang w:val="en-GB"/>
        </w:rPr>
        <w:t xml:space="preserve">Type of assessment: multi-choice questions. The students do not allow to using study materials during the examination time. </w:t>
      </w:r>
    </w:p>
    <w:p w:rsidR="008031AB" w:rsidRPr="008031AB" w:rsidRDefault="008031AB" w:rsidP="008031AB">
      <w:pPr>
        <w:widowControl w:val="0"/>
        <w:numPr>
          <w:ilvl w:val="1"/>
          <w:numId w:val="1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990"/>
        <w:contextualSpacing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8031AB">
        <w:rPr>
          <w:rFonts w:ascii="Times New Roman" w:hAnsi="Times New Roman"/>
          <w:bCs/>
          <w:sz w:val="24"/>
          <w:szCs w:val="24"/>
          <w:lang w:val="en-GB"/>
        </w:rPr>
        <w:t>Method and conduct of assessments</w:t>
      </w:r>
    </w:p>
    <w:tbl>
      <w:tblPr>
        <w:tblW w:w="94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179"/>
        <w:gridCol w:w="4688"/>
      </w:tblGrid>
      <w:tr w:rsidR="00FB2F87" w:rsidRPr="00AC0F0C" w:rsidTr="00197F0C">
        <w:trPr>
          <w:trHeight w:val="594"/>
          <w:tblHeader/>
        </w:trPr>
        <w:tc>
          <w:tcPr>
            <w:tcW w:w="600" w:type="dxa"/>
            <w:shd w:val="clear" w:color="auto" w:fill="D9D9D9"/>
            <w:vAlign w:val="center"/>
          </w:tcPr>
          <w:p w:rsidR="00FB2F87" w:rsidRPr="00D955C6" w:rsidRDefault="00FB2F87" w:rsidP="00D955C6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955C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  <w:t>No.</w:t>
            </w:r>
          </w:p>
        </w:tc>
        <w:tc>
          <w:tcPr>
            <w:tcW w:w="4179" w:type="dxa"/>
            <w:shd w:val="clear" w:color="auto" w:fill="D9D9D9"/>
            <w:vAlign w:val="center"/>
          </w:tcPr>
          <w:p w:rsidR="00FB2F87" w:rsidRPr="00D955C6" w:rsidRDefault="00FB2F87" w:rsidP="00D955C6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955C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  <w:t>Assessment details</w:t>
            </w:r>
          </w:p>
        </w:tc>
        <w:tc>
          <w:tcPr>
            <w:tcW w:w="4688" w:type="dxa"/>
            <w:shd w:val="clear" w:color="auto" w:fill="D9D9D9"/>
            <w:vAlign w:val="center"/>
          </w:tcPr>
          <w:p w:rsidR="00FB2F87" w:rsidRPr="00D955C6" w:rsidRDefault="00FB2F87" w:rsidP="00D955C6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D955C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vi-VN"/>
              </w:rPr>
              <w:t>Percentage</w:t>
            </w:r>
          </w:p>
        </w:tc>
      </w:tr>
      <w:tr w:rsidR="00FB2F87" w:rsidRPr="00AC0F0C" w:rsidTr="00197F0C">
        <w:trPr>
          <w:trHeight w:val="594"/>
        </w:trPr>
        <w:tc>
          <w:tcPr>
            <w:tcW w:w="600" w:type="dxa"/>
            <w:vAlign w:val="center"/>
          </w:tcPr>
          <w:p w:rsidR="00FB2F87" w:rsidRPr="00D955C6" w:rsidRDefault="00FB2F87" w:rsidP="00D955C6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</w:pPr>
            <w:r w:rsidRPr="00D955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179" w:type="dxa"/>
            <w:vAlign w:val="center"/>
          </w:tcPr>
          <w:p w:rsidR="00FB2F87" w:rsidRPr="00AC0F0C" w:rsidRDefault="00FB2F87" w:rsidP="00D95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0F0C">
              <w:rPr>
                <w:rFonts w:ascii="Times New Roman" w:hAnsi="Times New Roman"/>
                <w:sz w:val="24"/>
                <w:szCs w:val="24"/>
                <w:lang w:eastAsia="ar-SA"/>
              </w:rPr>
              <w:t>In-class exercise</w:t>
            </w:r>
          </w:p>
        </w:tc>
        <w:tc>
          <w:tcPr>
            <w:tcW w:w="4688" w:type="dxa"/>
            <w:vAlign w:val="center"/>
          </w:tcPr>
          <w:p w:rsidR="00FB2F87" w:rsidRPr="00AC0F0C" w:rsidRDefault="00FB2F87" w:rsidP="00D95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sz w:val="24"/>
                <w:szCs w:val="24"/>
                <w:lang w:val="en-GB"/>
              </w:rPr>
              <w:t>20%</w:t>
            </w:r>
          </w:p>
        </w:tc>
      </w:tr>
      <w:tr w:rsidR="00FB2F87" w:rsidRPr="00AC0F0C" w:rsidTr="00197F0C">
        <w:trPr>
          <w:trHeight w:val="594"/>
        </w:trPr>
        <w:tc>
          <w:tcPr>
            <w:tcW w:w="600" w:type="dxa"/>
            <w:vAlign w:val="center"/>
          </w:tcPr>
          <w:p w:rsidR="00FB2F87" w:rsidRPr="00D955C6" w:rsidRDefault="00FB2F87" w:rsidP="00D955C6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</w:pPr>
            <w:r w:rsidRPr="00D955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179" w:type="dxa"/>
            <w:vAlign w:val="center"/>
          </w:tcPr>
          <w:p w:rsidR="00FB2F87" w:rsidRPr="00AC0F0C" w:rsidRDefault="00FB2F87" w:rsidP="00D95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0F0C">
              <w:rPr>
                <w:rFonts w:ascii="Times New Roman" w:hAnsi="Times New Roman"/>
                <w:sz w:val="24"/>
                <w:szCs w:val="24"/>
                <w:lang w:eastAsia="ar-SA"/>
              </w:rPr>
              <w:t>Mid-Term Exam</w:t>
            </w:r>
          </w:p>
        </w:tc>
        <w:tc>
          <w:tcPr>
            <w:tcW w:w="4688" w:type="dxa"/>
            <w:vAlign w:val="center"/>
          </w:tcPr>
          <w:p w:rsidR="00FB2F87" w:rsidRPr="00AC0F0C" w:rsidRDefault="00FB2F87" w:rsidP="00D95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sz w:val="24"/>
                <w:szCs w:val="24"/>
                <w:lang w:val="en-GB"/>
              </w:rPr>
              <w:t>30%</w:t>
            </w:r>
          </w:p>
        </w:tc>
      </w:tr>
      <w:tr w:rsidR="00FB2F87" w:rsidRPr="00AC0F0C" w:rsidTr="00197F0C">
        <w:trPr>
          <w:trHeight w:val="354"/>
        </w:trPr>
        <w:tc>
          <w:tcPr>
            <w:tcW w:w="600" w:type="dxa"/>
            <w:vAlign w:val="center"/>
          </w:tcPr>
          <w:p w:rsidR="00FB2F87" w:rsidRPr="00D955C6" w:rsidRDefault="00FB2F87" w:rsidP="00D955C6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</w:pPr>
            <w:r w:rsidRPr="00D955C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179" w:type="dxa"/>
            <w:vAlign w:val="center"/>
          </w:tcPr>
          <w:p w:rsidR="00FB2F87" w:rsidRPr="00AC0F0C" w:rsidRDefault="00FB2F87" w:rsidP="00D95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0F0C">
              <w:rPr>
                <w:rFonts w:ascii="Times New Roman" w:hAnsi="Times New Roman"/>
                <w:sz w:val="24"/>
                <w:szCs w:val="24"/>
                <w:lang w:eastAsia="ar-SA"/>
              </w:rPr>
              <w:t>Final Exam</w:t>
            </w:r>
          </w:p>
        </w:tc>
        <w:tc>
          <w:tcPr>
            <w:tcW w:w="4688" w:type="dxa"/>
            <w:vAlign w:val="center"/>
          </w:tcPr>
          <w:p w:rsidR="00FB2F87" w:rsidRPr="00AC0F0C" w:rsidRDefault="00FB2F87" w:rsidP="00D955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sz w:val="24"/>
                <w:szCs w:val="24"/>
                <w:lang w:val="en-GB"/>
              </w:rPr>
              <w:t>50%</w:t>
            </w:r>
          </w:p>
        </w:tc>
      </w:tr>
    </w:tbl>
    <w:p w:rsidR="00FB2F87" w:rsidRDefault="00FB2F87" w:rsidP="00FB2F8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F12B2A" w:rsidRDefault="00F12B2A" w:rsidP="00F12B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.</w:t>
      </w:r>
    </w:p>
    <w:p w:rsidR="007E44C4" w:rsidRDefault="007E44C4" w:rsidP="007E44C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 w:hanging="358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TEACHING DETAIL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ED</w:t>
      </w:r>
      <w:r w:rsidRPr="008F6AF0">
        <w:rPr>
          <w:rFonts w:ascii="Times New Roman" w:hAnsi="Times New Roman"/>
          <w:b/>
          <w:bCs/>
          <w:sz w:val="24"/>
          <w:szCs w:val="24"/>
          <w:lang w:val="en-GB"/>
        </w:rPr>
        <w:t xml:space="preserve"> PLAN</w:t>
      </w:r>
    </w:p>
    <w:p w:rsidR="007E44C4" w:rsidRDefault="00FB2F87">
      <w:pPr>
        <w:rPr>
          <w:rFonts w:ascii="Times New Roman" w:hAnsi="Times New Roman"/>
          <w:sz w:val="26"/>
          <w:szCs w:val="26"/>
        </w:rPr>
      </w:pPr>
      <w:r w:rsidRPr="00FB2F87">
        <w:rPr>
          <w:rFonts w:ascii="Times New Roman" w:hAnsi="Times New Roman"/>
          <w:sz w:val="26"/>
          <w:szCs w:val="26"/>
        </w:rPr>
        <w:t>Each section consists of 4.5 hours</w:t>
      </w:r>
    </w:p>
    <w:tbl>
      <w:tblPr>
        <w:tblW w:w="96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8"/>
        <w:gridCol w:w="8359"/>
      </w:tblGrid>
      <w:tr w:rsidR="00B44B23" w:rsidRPr="00AC0F0C" w:rsidTr="00197F0C">
        <w:trPr>
          <w:trHeight w:val="331"/>
          <w:tblHeader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44B23" w:rsidRPr="00AC0F0C" w:rsidRDefault="003C69DF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Sections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44B23" w:rsidRPr="00AC0F0C" w:rsidRDefault="003C69DF" w:rsidP="008F6AF0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Content</w:t>
            </w:r>
          </w:p>
        </w:tc>
      </w:tr>
      <w:tr w:rsidR="00B44B23" w:rsidRPr="00AC0F0C" w:rsidTr="00197F0C">
        <w:trPr>
          <w:trHeight w:val="13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23" w:rsidRPr="00AC0F0C" w:rsidRDefault="003C69DF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Accounting for management</w:t>
            </w:r>
            <w:r w:rsidR="00B44B23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Source of data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Exercise</w:t>
            </w:r>
          </w:p>
        </w:tc>
      </w:tr>
      <w:tr w:rsidR="00B44B23" w:rsidRPr="00AC0F0C" w:rsidTr="00197F0C">
        <w:trPr>
          <w:trHeight w:val="13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23" w:rsidRPr="00AC0F0C" w:rsidRDefault="003C69DF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Cost classification</w:t>
            </w:r>
            <w:r w:rsidR="00B44B23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Cost behaviour</w:t>
            </w:r>
            <w:r w:rsidR="00B44B23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 xml:space="preserve"> - Exercise</w:t>
            </w:r>
          </w:p>
        </w:tc>
      </w:tr>
      <w:tr w:rsidR="00B44B23" w:rsidRPr="00AC0F0C" w:rsidTr="00197F0C">
        <w:trPr>
          <w:trHeight w:val="132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23" w:rsidRPr="00AC0F0C" w:rsidRDefault="003C69DF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Presenting information</w:t>
            </w:r>
            <w:r w:rsidR="00B44B23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="008F6AF0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Accounting for materials</w:t>
            </w:r>
            <w:r w:rsidR="00B44B23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="008F6AF0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="008F6AF0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AC0F0C" w:rsidTr="00197F0C">
        <w:trPr>
          <w:trHeight w:val="99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Accounting for labour</w:t>
            </w:r>
          </w:p>
          <w:p w:rsidR="00B44B23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Accounting for overheads</w:t>
            </w:r>
            <w:r w:rsidR="00B44B23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AC0F0C" w:rsidTr="00197F0C">
        <w:trPr>
          <w:trHeight w:val="99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23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Absorption and marginal cost</w:t>
            </w:r>
            <w:r w:rsidR="00B44B23"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AC0F0C" w:rsidTr="00197F0C">
        <w:trPr>
          <w:trHeight w:val="663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23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Job, batch and service costing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Revision</w:t>
            </w:r>
          </w:p>
        </w:tc>
      </w:tr>
      <w:tr w:rsidR="00B44B23" w:rsidRPr="00AC0F0C" w:rsidTr="00197F0C">
        <w:trPr>
          <w:trHeight w:val="663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23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Mid-term test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Process costing, joint products and by-product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AC0F0C" w:rsidTr="00197F0C">
        <w:trPr>
          <w:trHeight w:val="331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Alternative costing principles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AC0F0C" w:rsidTr="00197F0C">
        <w:trPr>
          <w:trHeight w:val="331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Forecasting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</w:tc>
      </w:tr>
      <w:tr w:rsidR="00B44B23" w:rsidRPr="00AC0F0C" w:rsidTr="00197F0C">
        <w:trPr>
          <w:trHeight w:val="99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B23" w:rsidRPr="00AC0F0C" w:rsidRDefault="00B44B23" w:rsidP="008F6AF0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23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Budgeting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 Theory</w:t>
            </w: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- Exercise</w:t>
            </w:r>
          </w:p>
          <w:p w:rsidR="008F6AF0" w:rsidRPr="00AC0F0C" w:rsidRDefault="008F6AF0" w:rsidP="008F6AF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AC0F0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Revision</w:t>
            </w:r>
          </w:p>
        </w:tc>
      </w:tr>
    </w:tbl>
    <w:p w:rsidR="00490D1B" w:rsidRDefault="00490D1B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  <w:bookmarkStart w:id="3" w:name="page6"/>
      <w:bookmarkEnd w:id="3"/>
    </w:p>
    <w:p w:rsidR="00F846C7" w:rsidRPr="00A035D7" w:rsidRDefault="00F846C7" w:rsidP="00F846C7">
      <w:pPr>
        <w:tabs>
          <w:tab w:val="center" w:pos="7200"/>
        </w:tabs>
        <w:rPr>
          <w:rFonts w:ascii="Times New Roman" w:hAnsi="Times New Roman"/>
          <w:color w:val="545454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545454"/>
          <w:sz w:val="26"/>
          <w:szCs w:val="26"/>
          <w:shd w:val="clear" w:color="auto" w:fill="FFFFFF"/>
        </w:rPr>
        <w:tab/>
      </w:r>
      <w:r w:rsidRPr="00A035D7">
        <w:rPr>
          <w:rFonts w:ascii="Times New Roman" w:hAnsi="Times New Roman"/>
          <w:color w:val="545454"/>
          <w:sz w:val="26"/>
          <w:szCs w:val="26"/>
          <w:shd w:val="clear" w:color="auto" w:fill="FFFFFF"/>
        </w:rPr>
        <w:t>Ho chi minh city, 19/12/ 2017</w:t>
      </w:r>
    </w:p>
    <w:p w:rsidR="00F846C7" w:rsidRPr="00A035D7" w:rsidRDefault="00F846C7" w:rsidP="00F846C7">
      <w:pPr>
        <w:tabs>
          <w:tab w:val="center" w:pos="7200"/>
        </w:tabs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</w:pPr>
      <w:r w:rsidRPr="00A035D7"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  <w:tab/>
        <w:t>Dean</w:t>
      </w:r>
    </w:p>
    <w:p w:rsidR="00F846C7" w:rsidRPr="00A035D7" w:rsidRDefault="00F846C7" w:rsidP="00F846C7">
      <w:pPr>
        <w:tabs>
          <w:tab w:val="center" w:pos="7200"/>
        </w:tabs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</w:pPr>
    </w:p>
    <w:p w:rsidR="00F846C7" w:rsidRPr="00A035D7" w:rsidRDefault="00F846C7" w:rsidP="00F846C7">
      <w:pPr>
        <w:tabs>
          <w:tab w:val="center" w:pos="7200"/>
        </w:tabs>
        <w:rPr>
          <w:rFonts w:ascii="Times New Roman" w:hAnsi="Times New Roman"/>
          <w:b/>
          <w:color w:val="545454"/>
          <w:sz w:val="26"/>
          <w:szCs w:val="26"/>
          <w:shd w:val="clear" w:color="auto" w:fill="FFFFFF"/>
        </w:rPr>
      </w:pPr>
    </w:p>
    <w:p w:rsidR="00F846C7" w:rsidRPr="00A035D7" w:rsidRDefault="00F846C7" w:rsidP="00F846C7">
      <w:pPr>
        <w:tabs>
          <w:tab w:val="center" w:pos="7200"/>
        </w:tabs>
        <w:rPr>
          <w:rFonts w:ascii="Times New Roman" w:hAnsi="Times New Roman"/>
          <w:b/>
          <w:sz w:val="26"/>
          <w:szCs w:val="26"/>
          <w:lang w:val="en-GB"/>
        </w:rPr>
      </w:pPr>
      <w:r w:rsidRPr="00A035D7">
        <w:rPr>
          <w:rFonts w:ascii="Times New Roman" w:hAnsi="Times New Roman"/>
          <w:b/>
          <w:sz w:val="26"/>
          <w:szCs w:val="26"/>
        </w:rPr>
        <w:tab/>
        <w:t>Dr. Ho Huu Thuy</w:t>
      </w:r>
    </w:p>
    <w:p w:rsidR="00F846C7" w:rsidRPr="008F6AF0" w:rsidRDefault="00F846C7" w:rsidP="008F6AF0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sectPr w:rsidR="00F846C7" w:rsidRPr="008F6AF0" w:rsidSect="00C8268A">
      <w:footerReference w:type="default" r:id="rId8"/>
      <w:pgSz w:w="11900" w:h="16838"/>
      <w:pgMar w:top="450" w:right="1000" w:bottom="360" w:left="1440" w:header="720" w:footer="720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0C" w:rsidRDefault="00AC0F0C" w:rsidP="00D255F6">
      <w:pPr>
        <w:spacing w:after="0" w:line="240" w:lineRule="auto"/>
      </w:pPr>
      <w:r>
        <w:separator/>
      </w:r>
    </w:p>
  </w:endnote>
  <w:endnote w:type="continuationSeparator" w:id="0">
    <w:p w:rsidR="00AC0F0C" w:rsidRDefault="00AC0F0C" w:rsidP="00D2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F6" w:rsidRDefault="00D255F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2B2A">
      <w:rPr>
        <w:noProof/>
      </w:rPr>
      <w:t>6</w:t>
    </w:r>
    <w:r>
      <w:fldChar w:fldCharType="end"/>
    </w:r>
  </w:p>
  <w:p w:rsidR="00D255F6" w:rsidRDefault="00D2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0C" w:rsidRDefault="00AC0F0C" w:rsidP="00D255F6">
      <w:pPr>
        <w:spacing w:after="0" w:line="240" w:lineRule="auto"/>
      </w:pPr>
      <w:r>
        <w:separator/>
      </w:r>
    </w:p>
  </w:footnote>
  <w:footnote w:type="continuationSeparator" w:id="0">
    <w:p w:rsidR="00AC0F0C" w:rsidRDefault="00AC0F0C" w:rsidP="00D2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D208221C"/>
    <w:lvl w:ilvl="0" w:tplc="D5EE8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000440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decimal"/>
      <w:lvlText w:val="6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B597AA2"/>
    <w:multiLevelType w:val="hybridMultilevel"/>
    <w:tmpl w:val="B702630A"/>
    <w:lvl w:ilvl="0" w:tplc="000072AE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09FC"/>
    <w:multiLevelType w:val="hybridMultilevel"/>
    <w:tmpl w:val="D208221C"/>
    <w:lvl w:ilvl="0" w:tplc="D5EE8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000440D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1E055A"/>
    <w:multiLevelType w:val="multilevel"/>
    <w:tmpl w:val="1A28C23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5DE609BA"/>
    <w:multiLevelType w:val="multilevel"/>
    <w:tmpl w:val="A17A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896"/>
    <w:rsid w:val="000913E2"/>
    <w:rsid w:val="001046F5"/>
    <w:rsid w:val="00140AF9"/>
    <w:rsid w:val="00144201"/>
    <w:rsid w:val="00197F0C"/>
    <w:rsid w:val="001F39D3"/>
    <w:rsid w:val="002061AF"/>
    <w:rsid w:val="002341D3"/>
    <w:rsid w:val="002818F4"/>
    <w:rsid w:val="002B1197"/>
    <w:rsid w:val="002D4329"/>
    <w:rsid w:val="002E6CDE"/>
    <w:rsid w:val="003A18A0"/>
    <w:rsid w:val="003B78FD"/>
    <w:rsid w:val="003C69DF"/>
    <w:rsid w:val="00463A67"/>
    <w:rsid w:val="00490D1B"/>
    <w:rsid w:val="004E3AC4"/>
    <w:rsid w:val="00501962"/>
    <w:rsid w:val="0051782E"/>
    <w:rsid w:val="00520E5E"/>
    <w:rsid w:val="00532D9B"/>
    <w:rsid w:val="00563F49"/>
    <w:rsid w:val="005727FA"/>
    <w:rsid w:val="005C1108"/>
    <w:rsid w:val="005E45D7"/>
    <w:rsid w:val="006249DA"/>
    <w:rsid w:val="0064199A"/>
    <w:rsid w:val="006E2BF2"/>
    <w:rsid w:val="00705DB3"/>
    <w:rsid w:val="00761E74"/>
    <w:rsid w:val="00763F9B"/>
    <w:rsid w:val="007E44C4"/>
    <w:rsid w:val="008031AB"/>
    <w:rsid w:val="008440F0"/>
    <w:rsid w:val="00890887"/>
    <w:rsid w:val="008F6AF0"/>
    <w:rsid w:val="00923FA1"/>
    <w:rsid w:val="00932460"/>
    <w:rsid w:val="00944297"/>
    <w:rsid w:val="00957DB7"/>
    <w:rsid w:val="00967598"/>
    <w:rsid w:val="00A035D7"/>
    <w:rsid w:val="00A16605"/>
    <w:rsid w:val="00AC0F0C"/>
    <w:rsid w:val="00AD623E"/>
    <w:rsid w:val="00B37A82"/>
    <w:rsid w:val="00B44B23"/>
    <w:rsid w:val="00B831DB"/>
    <w:rsid w:val="00C37FAD"/>
    <w:rsid w:val="00C8268A"/>
    <w:rsid w:val="00CC0896"/>
    <w:rsid w:val="00CC6508"/>
    <w:rsid w:val="00D255F6"/>
    <w:rsid w:val="00D955C6"/>
    <w:rsid w:val="00DD4972"/>
    <w:rsid w:val="00EE3D5D"/>
    <w:rsid w:val="00EF3714"/>
    <w:rsid w:val="00F013D5"/>
    <w:rsid w:val="00F12B2A"/>
    <w:rsid w:val="00F57138"/>
    <w:rsid w:val="00F846C7"/>
    <w:rsid w:val="00F86A27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F37476D1-9CAD-41F7-8A09-A810D28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4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255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5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255F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031AB"/>
    <w:pPr>
      <w:spacing w:before="120" w:after="0" w:line="240" w:lineRule="auto"/>
      <w:jc w:val="center"/>
    </w:pPr>
    <w:rPr>
      <w:rFonts w:ascii=".VnTimeH" w:hAnsi=".VnTimeH"/>
      <w:b/>
      <w:sz w:val="26"/>
      <w:szCs w:val="20"/>
      <w:lang w:val="en-GB"/>
    </w:rPr>
  </w:style>
  <w:style w:type="character" w:customStyle="1" w:styleId="BodyText2Char">
    <w:name w:val="Body Text 2 Char"/>
    <w:link w:val="BodyText2"/>
    <w:uiPriority w:val="99"/>
    <w:locked/>
    <w:rsid w:val="008031AB"/>
    <w:rPr>
      <w:rFonts w:ascii=".VnTimeH" w:hAnsi=".VnTimeH" w:cs="Times New Roman"/>
      <w:b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AJVNCJQTK6FV-128-475</_dlc_DocId>
    <_dlc_DocIdUrl xmlns="899dc094-1e94-4f91-a470-511ad44b7ba1">
      <Url>http://webadmin.ou.edu.vn/ktkt/_layouts/DocIdRedir.aspx?ID=AJVNCJQTK6FV-128-475</Url>
      <Description>AJVNCJQTK6FV-128-475</Description>
    </_dlc_DocIdUrl>
  </documentManagement>
</p:properties>
</file>

<file path=customXml/itemProps1.xml><?xml version="1.0" encoding="utf-8"?>
<ds:datastoreItem xmlns:ds="http://schemas.openxmlformats.org/officeDocument/2006/customXml" ds:itemID="{E38EAF23-B487-47ED-A8E3-FD9908E5ED87}"/>
</file>

<file path=customXml/itemProps2.xml><?xml version="1.0" encoding="utf-8"?>
<ds:datastoreItem xmlns:ds="http://schemas.openxmlformats.org/officeDocument/2006/customXml" ds:itemID="{0CAE7802-E74C-4109-B001-545353898168}"/>
</file>

<file path=customXml/itemProps3.xml><?xml version="1.0" encoding="utf-8"?>
<ds:datastoreItem xmlns:ds="http://schemas.openxmlformats.org/officeDocument/2006/customXml" ds:itemID="{A6999583-A474-4E2C-A335-1650E64CBACA}"/>
</file>

<file path=customXml/itemProps4.xml><?xml version="1.0" encoding="utf-8"?>
<ds:datastoreItem xmlns:ds="http://schemas.openxmlformats.org/officeDocument/2006/customXml" ds:itemID="{0619431F-E980-448C-99F4-24AAEC3C9753}"/>
</file>

<file path=customXml/itemProps5.xml><?xml version="1.0" encoding="utf-8"?>
<ds:datastoreItem xmlns:ds="http://schemas.openxmlformats.org/officeDocument/2006/customXml" ds:itemID="{F2B51307-F0BF-4865-B78B-2E5282AC3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Hồ Thị Bích Nhơn</cp:lastModifiedBy>
  <cp:revision>2</cp:revision>
  <cp:lastPrinted>2019-03-13T11:56:00Z</cp:lastPrinted>
  <dcterms:created xsi:type="dcterms:W3CDTF">2019-03-21T10:08:00Z</dcterms:created>
  <dcterms:modified xsi:type="dcterms:W3CDTF">2019-03-21T10:08:00Z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d79b8f42-2025-4f09-9dcd-60fd8e69f98d</vt:lpwstr>
  </property>
</Properties>
</file>