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1B174D" w:rsidRPr="001B174D" w14:paraId="4C434807" w14:textId="77777777" w:rsidTr="001B174D">
        <w:trPr>
          <w:tblCellSpacing w:w="0" w:type="dxa"/>
          <w:jc w:val="center"/>
        </w:trPr>
        <w:tc>
          <w:tcPr>
            <w:tcW w:w="1261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60"/>
            </w:tblGrid>
            <w:tr w:rsidR="001B174D" w:rsidRPr="001B174D" w14:paraId="3EA9382F" w14:textId="77777777">
              <w:trPr>
                <w:tblCellSpacing w:w="0" w:type="dxa"/>
              </w:trPr>
              <w:tc>
                <w:tcPr>
                  <w:tcW w:w="12390" w:type="dxa"/>
                  <w:hideMark/>
                </w:tcPr>
                <w:tbl>
                  <w:tblPr>
                    <w:tblW w:w="1016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1B174D" w:rsidRPr="001B174D" w14:paraId="692296F0" w14:textId="77777777" w:rsidTr="00ED4433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2" w:space="0" w:color="CC0000"/>
                          <w:left w:val="single" w:sz="2" w:space="0" w:color="CC0000"/>
                          <w:bottom w:val="single" w:sz="2" w:space="0" w:color="CC0000"/>
                          <w:right w:val="single" w:sz="2" w:space="0" w:color="CC0000"/>
                        </w:tcBorders>
                        <w:vAlign w:val="center"/>
                        <w:hideMark/>
                      </w:tcPr>
                      <w:tbl>
                        <w:tblPr>
                          <w:tblW w:w="12210" w:type="dxa"/>
                          <w:tblBorders>
                            <w:top w:val="single" w:sz="6" w:space="0" w:color="D4D3D3"/>
                            <w:left w:val="single" w:sz="6" w:space="0" w:color="D4D3D3"/>
                            <w:bottom w:val="single" w:sz="6" w:space="0" w:color="D4D3D3"/>
                            <w:right w:val="single" w:sz="6" w:space="0" w:color="D4D3D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10"/>
                        </w:tblGrid>
                        <w:tr w:rsidR="001B174D" w:rsidRPr="001B174D" w14:paraId="4E8ED8D4" w14:textId="77777777" w:rsidTr="001B174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horzAnchor="page" w:tblpX="1" w:tblpY="-675"/>
                                <w:tblOverlap w:val="never"/>
                                <w:tblW w:w="927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0"/>
                              </w:tblGrid>
                              <w:tr w:rsidR="001B174D" w:rsidRPr="001B174D" w14:paraId="3B418DAB" w14:textId="77777777" w:rsidTr="00ED4433">
                                <w:tc>
                                  <w:tcPr>
                                    <w:tcW w:w="92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80" w:rightFromText="180" w:horzAnchor="page" w:tblpX="1" w:tblpY="-660"/>
                                      <w:tblOverlap w:val="nev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86"/>
                                      <w:gridCol w:w="6294"/>
                                    </w:tblGrid>
                                    <w:tr w:rsidR="001B174D" w:rsidRPr="001B174D" w14:paraId="2D2D9923" w14:textId="77777777" w:rsidTr="00ED4433">
                                      <w:tc>
                                        <w:tcPr>
                                          <w:tcW w:w="351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14:paraId="68D57162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QUỐC HỘI</w:t>
                                          </w:r>
                                        </w:p>
                                        <w:p w14:paraId="5F6BBD2D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_________________</w:t>
                                          </w:r>
                                        </w:p>
                                        <w:p w14:paraId="43455BDC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Luật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số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: </w:t>
                                          </w: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25/</w:t>
                                          </w: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2008/QH12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7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14:paraId="56E1F211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CỘNG HOÀ XÃ HỘI CHỦ NGHĨA VIỆT NAM</w:t>
                                          </w:r>
                                        </w:p>
                                        <w:p w14:paraId="35106CA3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Độc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lập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Tự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do -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Hạnh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phúc</w:t>
                                          </w:r>
                                          <w:proofErr w:type="spellEnd"/>
                                        </w:p>
                                        <w:p w14:paraId="522489B9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___________________________</w:t>
                                          </w:r>
                                        </w:p>
                                        <w:p w14:paraId="5EC4563F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Hà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Nội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ngày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14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tháng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11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năm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2008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589CE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788CEF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</w:p>
                                  <w:p w14:paraId="0678D3A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 HIỂM Y TẾ</w:t>
                                    </w:r>
                                  </w:p>
                                  <w:p w14:paraId="645C025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38D35DB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hòa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nghĩa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Nam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1992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sửa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sung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51/2001/QH10;</w:t>
                                    </w:r>
                                  </w:p>
                                  <w:p w14:paraId="1FBEE43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946B8D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92D472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I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490E73C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NHỮNG QUY ĐỊNH CHUNG</w:t>
                                    </w:r>
                                  </w:p>
                                  <w:p w14:paraId="4A7BD13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chỉnh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</w:p>
                                  <w:p w14:paraId="0B15E88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2852ED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Nam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A63051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3C6F70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ngữ</w:t>
                                    </w:r>
                                    <w:proofErr w:type="spellEnd"/>
                                  </w:p>
                                  <w:p w14:paraId="7300BAA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7E05D8C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lĩnh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sóc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khỏe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nhuận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15A665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4160BC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máy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những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CCE8CC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lãnh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Nam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AFBDD6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B697ED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nhằm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đánh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934412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tắc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4B3FB1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rủi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những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7B4623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gọi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).</w:t>
                                    </w:r>
                                  </w:p>
                                  <w:p w14:paraId="1E29CA0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nhóm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439334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17133D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EDE7B0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4823613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hỗ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nhóm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054428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miễn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B88476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nhóm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628DE0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triển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8DAFD5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34371A4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0F6E2F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chịu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A6CFB4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1F1012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5C602A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86046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70868F7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sóc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nâng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khỏe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53B652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triển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2A58D8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433123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nhằm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64F8FB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549635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triển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B7567E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7. 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22024E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8. Theo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dõi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đánh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lĩnh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6352BF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0E40EA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3812DC6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69F57E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9FC20F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88A959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4799186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triển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74AAFE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hỗ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74B853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74172D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4DF1A8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tỉnh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còn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E09ECB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5DCACE0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84E6FC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424117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6BE138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5014A4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D8BBD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nghiêm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cấm</w:t>
                                    </w:r>
                                    <w:proofErr w:type="spellEnd"/>
                                  </w:p>
                                  <w:p w14:paraId="04FAF92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B35A39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Gian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3D2925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044879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0138FD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ý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lệch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98203F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BDF39A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DB39F7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II</w:t>
                                    </w:r>
                                  </w:p>
                                  <w:p w14:paraId="6EF9BCB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ĐỐI TƯỢNG, MỨC ĐÓNG, TRÁCH NHIỆM</w:t>
                                    </w:r>
                                  </w:p>
                                  <w:p w14:paraId="7DC8ED7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 PHƯƠNG THỨC ĐÓNG BẢO HIỂM Y TẾ</w:t>
                                    </w:r>
                                  </w:p>
                                  <w:p w14:paraId="204B420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231D9B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gọi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).</w:t>
                                    </w:r>
                                  </w:p>
                                  <w:p w14:paraId="4D7B32E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A5BA7F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946E7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tai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025310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DD66CF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trấn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61E81D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trấn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B67ED9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D12CDE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57260D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Cựu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cựu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FFA52C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1457B7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19F989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2AECB4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nghèo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6BA240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E04552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nghĩa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744107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9376CE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E59E06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bậc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9031E1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7A5710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ghép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0EE073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Nam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Nam.</w:t>
                                    </w:r>
                                  </w:p>
                                  <w:p w14:paraId="2698860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nghèo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4599BD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CBC923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diêm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943607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nuôi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8D980F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B3455B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1CA631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5C47658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3A0FE56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2/3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1/3.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con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nuôi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con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nuôi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EDFB08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684E3C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4, 5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323C30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DFDCD0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đ)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7, 9, 10, 11, 12, 13, 14, 15, 16, 17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7CAFEF3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e)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19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47A0BF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g)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20, 21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929F90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hỗ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12 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proofErr w:type="gram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A43ED9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h)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AFDB3F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1EDA78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k)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53FD01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C1FB09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thêm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6C76D3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hỗ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BB5022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5A20C76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bậc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vượt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).</w:t>
                                    </w:r>
                                  </w:p>
                                  <w:p w14:paraId="368F3C9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015770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2851F0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803A88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F6444B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4ACF0E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lúc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9A1BDC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doanh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diêm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lúc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CF9830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3, 4, 5, 6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B24B5A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7, 9, 10, 11, 12, 13, 14, 17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A59A92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a, b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CBAFCC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19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C8066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20, 21, 22, 23, 24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4F2319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A65019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III</w:t>
                                    </w:r>
                                  </w:p>
                                  <w:p w14:paraId="1FF9C26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 BẢO HIỂM Y TẾ</w:t>
                                    </w:r>
                                  </w:p>
                                  <w:p w14:paraId="4BA317F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4ADB744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00903A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Mỗi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4DD6C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4D93180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50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51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F0EBCF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50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riêng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180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374D89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4A6699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7F2E3B1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B9DF51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tẩy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xoá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5D13AD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6CC2E9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mẫu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chậm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2014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ảnh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22520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55590C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E9F00F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4F53E8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nguyện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F6C94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Tờ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3848D0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6F2305D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trấn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trú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cha,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DA3906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trấn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trú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6E67E2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383733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4E8E4C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59D2BD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9A79B8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chờ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E05EA9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404D82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19.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8E5266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59FF669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hỏng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61027B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4CF93E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A6A069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608CC55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37BBB0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CC2D14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chờ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8E2C96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hỏng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proofErr w:type="gram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proofErr w:type="gram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F54B0D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20. Thu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F10BB5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0FF0AC6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Gian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F1318E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AAE36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866C5A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9BA482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IV</w:t>
                                    </w:r>
                                  </w:p>
                                  <w:p w14:paraId="6A6FC76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lastRenderedPageBreak/>
                                      <w:t>PHẠM VI ĐƯỢC HƯỞNG BẢO HIỂM Y TẾ</w:t>
                                    </w:r>
                                  </w:p>
                                  <w:p w14:paraId="5D40B6B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6AD981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CAF900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con;</w:t>
                                    </w:r>
                                  </w:p>
                                  <w:p w14:paraId="1634495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sàng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chẩn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sớm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EED387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huyện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9, 13, 14, 17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trú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D9BDBC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hóa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F4A9A0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C042F1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26, 27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778EC3A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100%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2, 9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AF45F6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100%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BFC600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95%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3, 13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BFE0C6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80%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C2E5C9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9A2641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vượt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lớn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5E6CDC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270213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2B6BBA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749E7D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khỏe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950B5D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Xét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chẩn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nhằm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85DE26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hỗ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hóa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hút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nghén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hay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4C3AB0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18570C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khúc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mắt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74378F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mắt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mắt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máy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giúp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283DE3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tai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7F0B8F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10. 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8F41B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ma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túy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rượu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7CABDE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12. 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ra.</w:t>
                                    </w:r>
                                  </w:p>
                                  <w:p w14:paraId="37E5836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khoa,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AEE800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lâm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sàng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AB33BB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39063F3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V</w:t>
                                    </w:r>
                                  </w:p>
                                  <w:p w14:paraId="3FB4A84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 CHỨC KHÁM BỆNH, CHỮA BỆNH</w:t>
                                    </w:r>
                                  </w:p>
                                  <w:p w14:paraId="10A8909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CHO NGƯỜI THAM GIA BẢO HIỂM Y TẾ</w:t>
                                    </w:r>
                                  </w:p>
                                  <w:p w14:paraId="2DBF16A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6D4771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FEA255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04A869D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BF0CC6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Phòng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khoa;</w:t>
                                    </w:r>
                                  </w:p>
                                  <w:p w14:paraId="6FDE2B7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khoa.</w:t>
                                    </w:r>
                                  </w:p>
                                  <w:p w14:paraId="39372A5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460DE1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thoả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334196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60C04FF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CC8FA7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53CABF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39E510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B96CCF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đ)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341D04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e)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dứt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EE04EF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thỏa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dứt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e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đoạn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E4260C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mẫu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3868BB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5BAB40A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huyện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tỉnh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3DC179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trú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trú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D81DC4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mỗi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9ECD3F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D8C260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</w:p>
                                  <w:p w14:paraId="149B09E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vượt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kịp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môn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AD86B7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BA0828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ảnh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ảnh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tờ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7BD943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tờ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ra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EEC145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1D4377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giấy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hẹn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56010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29.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15ECF9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gồm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5D4E97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B11BDF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đánh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chỉ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hóa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2B0F41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990BD8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0C4574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chịu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754700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D5B338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VI</w:t>
                                    </w:r>
                                  </w:p>
                                  <w:p w14:paraId="3ED3DB9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THANH TOÁN CHI PHÍ KHÁM BỆNH, CHỮA BỆNH BẢO HIỂM Y TẾ</w:t>
                                    </w:r>
                                  </w:p>
                                  <w:p w14:paraId="609B9AB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4C8BA2D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23F3FB9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mỗi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2067FC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hóa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dịch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E60E58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chẩn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652965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.</w:t>
                                    </w:r>
                                    <w:proofErr w:type="gramEnd"/>
                                  </w:p>
                                  <w:p w14:paraId="395EF5E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31.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B0B83E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3CFA2C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5FA4D48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17950B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26, 27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61BA13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D041E5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20D7A6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A1E7A9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E52E32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2CE050C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80%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80%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48738A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429478F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mỗi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gửi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4F26F7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xét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3AAA46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40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4721FD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14:paraId="593D6BA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VII</w:t>
                                    </w:r>
                                  </w:p>
                                  <w:p w14:paraId="2458B89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QUỸ BẢO HIỂM Y TẾ</w:t>
                                    </w:r>
                                  </w:p>
                                  <w:p w14:paraId="7AAD820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D61D08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C88EB3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BB444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DADBF2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D8A177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25B2750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A40C77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nguồn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230067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7755AA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6C23747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2737AAE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máy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DA4709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tắc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4880BA7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phòng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phòng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thiểu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hai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D7EE82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tỉnh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thuộc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lớn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phương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89D40D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3CC563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113351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VIII</w:t>
                                    </w:r>
                                  </w:p>
                                  <w:p w14:paraId="08E9BD4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 VÀ TRÁCH NHIỆM CỦA CÁC BÊN</w:t>
                                    </w:r>
                                  </w:p>
                                  <w:p w14:paraId="0A0E3C1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LIÊN QUAN ĐẾN BẢO HIỂM Y TẾ</w:t>
                                    </w:r>
                                  </w:p>
                                  <w:p w14:paraId="5F24BB5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F32CE4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B20F21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chọn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9F4CE0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F8FA7E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528EA7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DB87F4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9F76D4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Nghĩa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429311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B4DEEF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mượn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7D553D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28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DFF593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80D9C1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ngoài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D292E5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lastRenderedPageBreak/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6FE3845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657E08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44E8C3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39.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proofErr w:type="gram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0465F1A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Lập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5F434D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49CC7A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DA4CC9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64A15D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33500D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36F391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CEDE52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D7D9D3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704B40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A7B25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163C28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sung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B2A094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16B30C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DEE135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168DC5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Thu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EDA4A5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76245F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023F41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 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E57255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chọn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ban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0413DE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1F1581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2CDE7B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hệ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03E29A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kê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0BD08F9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nghiệp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khoa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học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B203B0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E84C8A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713152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đồng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21F2227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3. 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F6E19B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DDD82B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tục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35ED267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5E85C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đảm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E3ADED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những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3845EB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đúng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83330B6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6.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thống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kê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7EE0647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44.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</w:p>
                                  <w:p w14:paraId="017C46B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cung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tin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7B08CC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ảnh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hưởng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B167D8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45.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</w:p>
                                  <w:p w14:paraId="58DA55F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4B216DC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dựng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sung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C7C4A58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73D0BE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BFD7E8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IX</w:t>
                                    </w:r>
                                  </w:p>
                                  <w:p w14:paraId="76EB8E9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THANH TRA, KHIẾU NẠI, TỐ CÁO, GIẢI QUYẾT TRANH CHẤP</w:t>
                                    </w:r>
                                  </w:p>
                                  <w:p w14:paraId="45CAA58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 XỬ LÝ VI PHẠM VỀ BẢO HIỂM Y TẾ</w:t>
                                    </w:r>
                                  </w:p>
                                  <w:p w14:paraId="0A3C0D9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46. 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3CE16D5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Thanh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chuyên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F2D3BA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47.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7556A90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18A0055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48.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</w:p>
                                  <w:p w14:paraId="4DFA3F5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nghĩa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vụ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45D9B5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61C45A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5A9A9C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8E23BE3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sở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A20471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2353E5B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hòa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4A18030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hòa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tranh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khởi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Tòa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2BFAD4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lastRenderedPageBreak/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49.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</w:p>
                                  <w:p w14:paraId="2E67F9C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tùy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kỷ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cứu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gây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bồi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5E51CF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lao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hoặc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đầy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cùng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việc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còn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chậm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suất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nếu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thẩm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xử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tổ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chức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tín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trích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gửi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trách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nhiệm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chậm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đóng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số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tài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quỹ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195A80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055C863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CHƯƠNG X</w:t>
                                    </w:r>
                                  </w:p>
                                  <w:p w14:paraId="4994B14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 KHOẢN THI HÀNH</w:t>
                                    </w:r>
                                  </w:p>
                                  <w:p w14:paraId="6861184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50.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chuyển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tiếp</w:t>
                                    </w:r>
                                    <w:proofErr w:type="spellEnd"/>
                                  </w:p>
                                  <w:p w14:paraId="6FEE2E5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chữa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bệnh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miễn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dưới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6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tuổi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F73CC4B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Theo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hạn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trên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2009;</w:t>
                                    </w:r>
                                  </w:p>
                                  <w:p w14:paraId="38711E41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2009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trường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hợp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giá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trị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sử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dụng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2009.</w:t>
                                    </w:r>
                                  </w:p>
                                  <w:p w14:paraId="66A2889D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Phạm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vi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lợi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người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cấp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thẻ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về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2009.</w:t>
                                    </w:r>
                                  </w:p>
                                  <w:p w14:paraId="045FE98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3.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21, 22, 23, 24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chưa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b, c, d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đ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51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thì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quyền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tự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nguyện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tham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6E8F52A9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51.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</w:p>
                                  <w:p w14:paraId="0B62FD15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7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2009.</w:t>
                                    </w:r>
                                  </w:p>
                                  <w:p w14:paraId="6F93C07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Lộ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trình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toàn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dân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như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24B1A54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đến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63DC97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b)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2010;</w:t>
                                    </w:r>
                                  </w:p>
                                  <w:p w14:paraId="6B6739AA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c)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2012;</w:t>
                                    </w:r>
                                  </w:p>
                                  <w:p w14:paraId="721C219F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d)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23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từ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2014;</w:t>
                                    </w:r>
                                  </w:p>
                                  <w:p w14:paraId="3C42BC2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đ)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Đối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tượng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tại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25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12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thực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hiện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bảo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tế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chậm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nhất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01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2014.</w:t>
                                    </w:r>
                                  </w:p>
                                  <w:p w14:paraId="6738496E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52.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</w:p>
                                  <w:p w14:paraId="7565DC1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Chính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định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chi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hành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điều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khoản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giao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trong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hướng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dẫn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những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dung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thiết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khác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để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đáp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ứng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yêu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cầu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của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quản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lý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nhà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FB899F2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___________________________________________________________</w:t>
                                    </w:r>
                                  </w:p>
                                  <w:p w14:paraId="47F6B90C" w14:textId="77777777" w:rsidR="001B174D" w:rsidRPr="001B174D" w:rsidRDefault="001B174D" w:rsidP="001B174D">
                                    <w:pPr>
                                      <w:spacing w:before="90" w:after="9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Luật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được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Quốc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nước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Cộng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hòa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xã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hội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chủ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nghĩa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Việt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Nam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khóa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XII,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kỳ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họp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thứ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thông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qua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ngày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14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tháng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11 </w:t>
                                    </w:r>
                                    <w:proofErr w:type="spellStart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proofErr w:type="spellEnd"/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2008</w:t>
                                    </w:r>
                                    <w:r w:rsidRPr="001B174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34"/>
                                      <w:gridCol w:w="3746"/>
                                    </w:tblGrid>
                                    <w:tr w:rsidR="001B174D" w:rsidRPr="001B174D" w14:paraId="69C121E5" w14:textId="77777777">
                                      <w:tc>
                                        <w:tcPr>
                                          <w:tcW w:w="711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5F25DCEC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val="pt-B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hideMark/>
                                        </w:tcPr>
                                        <w:p w14:paraId="4A992239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>CHỦ TỊCH QUỐC HỘI</w:t>
                                          </w:r>
                                        </w:p>
                                        <w:p w14:paraId="6FC2D266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:lang w:val="pt-BR"/>
                                            </w:rPr>
                                            <w:t>(đã ký)</w:t>
                                          </w:r>
                                        </w:p>
                                        <w:p w14:paraId="200E9043" w14:textId="77777777" w:rsidR="001B174D" w:rsidRPr="001B174D" w:rsidRDefault="001B174D" w:rsidP="001B174D">
                                          <w:pPr>
                                            <w:spacing w:before="90" w:after="9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>Nguyễn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>Phú</w:t>
                                          </w:r>
                                          <w:proofErr w:type="spellEnd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B17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>Trọng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13E39F1" w14:textId="77777777" w:rsidR="001B174D" w:rsidRPr="001B174D" w:rsidRDefault="001B174D" w:rsidP="001B174D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54C825" w14:textId="7993C8E4" w:rsidR="001B174D" w:rsidRPr="001B174D" w:rsidRDefault="001B174D" w:rsidP="001B174D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1B174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lastRenderedPageBreak/>
                                <w:t> (18/06/2020)</w:t>
                              </w:r>
                            </w:p>
                          </w:tc>
                        </w:tr>
                      </w:tbl>
                      <w:p w14:paraId="59212F5B" w14:textId="77777777" w:rsidR="001B174D" w:rsidRPr="001B174D" w:rsidRDefault="001B174D" w:rsidP="001B174D">
                        <w:pPr>
                          <w:spacing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F057011" w14:textId="77777777" w:rsidR="001B174D" w:rsidRPr="001B174D" w:rsidRDefault="001B174D" w:rsidP="001B174D">
                  <w:pPr>
                    <w:spacing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14:paraId="7CDD2E39" w14:textId="77777777" w:rsidR="001B174D" w:rsidRPr="001B174D" w:rsidRDefault="001B174D" w:rsidP="001B174D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C2F102E" w14:textId="77777777" w:rsidR="001B174D" w:rsidRPr="001B174D" w:rsidRDefault="001B174D" w:rsidP="001B174D">
      <w:pPr>
        <w:spacing w:line="240" w:lineRule="auto"/>
        <w:jc w:val="center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1B174D" w:rsidRPr="001B174D" w14:paraId="601D1F32" w14:textId="77777777" w:rsidTr="001B17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8C942B" w14:textId="77777777" w:rsidR="001B174D" w:rsidRPr="001B174D" w:rsidRDefault="001B174D" w:rsidP="001B174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8429861" w14:textId="77777777" w:rsidR="001B174D" w:rsidRPr="001B174D" w:rsidRDefault="001B174D" w:rsidP="001B174D">
      <w:pPr>
        <w:spacing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15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5"/>
      </w:tblGrid>
      <w:tr w:rsidR="001B174D" w:rsidRPr="001B174D" w14:paraId="65AE837C" w14:textId="77777777" w:rsidTr="001B174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DCAB91" w14:textId="7F866699" w:rsidR="001B174D" w:rsidRPr="001B174D" w:rsidRDefault="001B174D" w:rsidP="001B174D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B174D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81B7392" wp14:editId="7A566A88">
                  <wp:extent cx="20002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74D">
              <w:rPr>
                <w:rFonts w:eastAsia="Times New Roman" w:cs="Times New Roman"/>
                <w:szCs w:val="24"/>
              </w:rPr>
              <w:t>       </w:t>
            </w:r>
          </w:p>
        </w:tc>
      </w:tr>
    </w:tbl>
    <w:p w14:paraId="740019FF" w14:textId="77777777" w:rsidR="002B4D69" w:rsidRDefault="002B4D69"/>
    <w:sectPr w:rsidR="002B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D"/>
    <w:rsid w:val="001B174D"/>
    <w:rsid w:val="002B4D69"/>
    <w:rsid w:val="00E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D4AF"/>
  <w15:chartTrackingRefBased/>
  <w15:docId w15:val="{9FC6CFCC-49CD-469F-BABA-2BF6293C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ieund">
    <w:name w:val="ndieund"/>
    <w:basedOn w:val="Normal"/>
    <w:rsid w:val="001B174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B17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174D"/>
    <w:rPr>
      <w:color w:val="0000FF"/>
      <w:u w:val="single"/>
    </w:rPr>
  </w:style>
  <w:style w:type="character" w:customStyle="1" w:styleId="docdetailsize">
    <w:name w:val="doc_detail_size"/>
    <w:basedOn w:val="DefaultParagraphFont"/>
    <w:rsid w:val="001B17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174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17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174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174D"/>
    <w:rPr>
      <w:rFonts w:ascii="Arial" w:eastAsia="Times New Roman" w:hAnsi="Arial" w:cs="Arial"/>
      <w:vanish/>
      <w:sz w:val="16"/>
      <w:szCs w:val="16"/>
    </w:rPr>
  </w:style>
  <w:style w:type="character" w:customStyle="1" w:styleId="docdetailothersdate">
    <w:name w:val="doc_detail_others_date"/>
    <w:basedOn w:val="DefaultParagraphFont"/>
    <w:rsid w:val="001B174D"/>
  </w:style>
  <w:style w:type="character" w:styleId="Strong">
    <w:name w:val="Strong"/>
    <w:basedOn w:val="DefaultParagraphFont"/>
    <w:uiPriority w:val="22"/>
    <w:qFormat/>
    <w:rsid w:val="001B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8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1537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7065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8353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79792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91467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1717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18128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9132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1116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6585">
                          <w:marLeft w:val="120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AJVNCJQTK6FV-224-152</_dlc_DocId>
    <_dlc_DocIdUrl xmlns="899dc094-1e94-4f91-a470-511ad44b7ba1">
      <Url>http://webadmin.ou.edu.vn/tramyte/_layouts/DocIdRedir.aspx?ID=AJVNCJQTK6FV-224-152</Url>
      <Description>AJVNCJQTK6FV-224-152</Description>
    </_dlc_DocIdUrl>
  </documentManagement>
</p:properties>
</file>

<file path=customXml/itemProps1.xml><?xml version="1.0" encoding="utf-8"?>
<ds:datastoreItem xmlns:ds="http://schemas.openxmlformats.org/officeDocument/2006/customXml" ds:itemID="{F57CC314-E8A2-459D-834C-5CC4E55BAA5D}"/>
</file>

<file path=customXml/itemProps2.xml><?xml version="1.0" encoding="utf-8"?>
<ds:datastoreItem xmlns:ds="http://schemas.openxmlformats.org/officeDocument/2006/customXml" ds:itemID="{556FC44E-D491-4D95-974F-7B9A665EB0D8}"/>
</file>

<file path=customXml/itemProps3.xml><?xml version="1.0" encoding="utf-8"?>
<ds:datastoreItem xmlns:ds="http://schemas.openxmlformats.org/officeDocument/2006/customXml" ds:itemID="{B11E9DC9-B377-465C-A823-7553813FDFB5}"/>
</file>

<file path=customXml/itemProps4.xml><?xml version="1.0" encoding="utf-8"?>
<ds:datastoreItem xmlns:ds="http://schemas.openxmlformats.org/officeDocument/2006/customXml" ds:itemID="{7481B9FF-DA69-4E17-91AC-5E0FDEEFD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2020-10-05T07:22:00Z</dcterms:created>
  <dcterms:modified xsi:type="dcterms:W3CDTF">2020-10-05T07:29:00Z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2ef100f0-d0c4-4dcb-92a8-5d066fd54693</vt:lpwstr>
  </property>
</Properties>
</file>